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8E07" w14:textId="77777777" w:rsidR="001B1515" w:rsidRDefault="001B1515" w:rsidP="001B1515">
      <w:pPr>
        <w:spacing w:after="480"/>
      </w:pPr>
      <w:r>
        <w:rPr>
          <w:noProof/>
          <w:lang w:eastAsia="en-GB"/>
        </w:rPr>
        <w:drawing>
          <wp:inline distT="0" distB="0" distL="0" distR="0" wp14:anchorId="3C52E977" wp14:editId="7F06258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8460" w:type="dxa"/>
        <w:tblLook w:val="0000" w:firstRow="0" w:lastRow="0" w:firstColumn="0" w:lastColumn="0" w:noHBand="0" w:noVBand="0"/>
        <w:tblCaption w:val="Cabinet report summary details"/>
      </w:tblPr>
      <w:tblGrid>
        <w:gridCol w:w="3384"/>
        <w:gridCol w:w="5076"/>
      </w:tblGrid>
      <w:tr w:rsidR="001B1515" w14:paraId="411573E9" w14:textId="77777777" w:rsidTr="00AC28DC">
        <w:trPr>
          <w:tblHeader/>
        </w:trPr>
        <w:tc>
          <w:tcPr>
            <w:tcW w:w="3384" w:type="dxa"/>
            <w:tcBorders>
              <w:bottom w:val="single" w:sz="18" w:space="0" w:color="auto"/>
            </w:tcBorders>
          </w:tcPr>
          <w:p w14:paraId="430591F6" w14:textId="77777777" w:rsidR="001B1515" w:rsidRPr="00B805DB" w:rsidRDefault="001B1515" w:rsidP="007E08CE">
            <w:pPr>
              <w:pStyle w:val="Heading1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5076" w:type="dxa"/>
            <w:tcBorders>
              <w:bottom w:val="single" w:sz="18" w:space="0" w:color="auto"/>
            </w:tcBorders>
          </w:tcPr>
          <w:p w14:paraId="47BD6807" w14:textId="3B634D5B" w:rsidR="001B1515" w:rsidRDefault="00D4610B" w:rsidP="00DB6D88">
            <w:pPr>
              <w:pStyle w:val="Heading1"/>
              <w:outlineLvl w:val="0"/>
            </w:pPr>
            <w:r>
              <w:t>Health and Social Care Scrutiny Sub-Committee</w:t>
            </w:r>
          </w:p>
          <w:p w14:paraId="484CB054" w14:textId="77777777" w:rsidR="001B1515" w:rsidRPr="001B1515" w:rsidRDefault="001B1515" w:rsidP="001B1515"/>
        </w:tc>
      </w:tr>
      <w:tr w:rsidR="001B1515" w14:paraId="5F6DE90A" w14:textId="77777777" w:rsidTr="00AC28DC">
        <w:tc>
          <w:tcPr>
            <w:tcW w:w="3384" w:type="dxa"/>
            <w:tcBorders>
              <w:top w:val="single" w:sz="18" w:space="0" w:color="auto"/>
            </w:tcBorders>
          </w:tcPr>
          <w:p w14:paraId="6F0C92F9" w14:textId="77777777" w:rsidR="001B1515" w:rsidRPr="00F92398" w:rsidRDefault="001B1515" w:rsidP="00DB6D88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506F58C9" w14:textId="77777777" w:rsidR="001B1515" w:rsidRPr="00F92398" w:rsidRDefault="001B1515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  <w:tcBorders>
              <w:top w:val="single" w:sz="18" w:space="0" w:color="auto"/>
            </w:tcBorders>
          </w:tcPr>
          <w:p w14:paraId="5AADFA73" w14:textId="3B3FB7C7" w:rsidR="001B1515" w:rsidRDefault="003D6D95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21 February 2023</w:t>
            </w:r>
          </w:p>
        </w:tc>
      </w:tr>
      <w:tr w:rsidR="001B1515" w14:paraId="51EEF4C6" w14:textId="77777777" w:rsidTr="00AC28DC">
        <w:tc>
          <w:tcPr>
            <w:tcW w:w="3384" w:type="dxa"/>
          </w:tcPr>
          <w:p w14:paraId="1692079E" w14:textId="77777777" w:rsidR="001B1515" w:rsidRPr="00F92398" w:rsidRDefault="001B1515" w:rsidP="00DB6D8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7B3AE9D9" w14:textId="77777777" w:rsidR="001B1515" w:rsidRPr="00F92398" w:rsidRDefault="001B1515" w:rsidP="00DB6D88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76" w:type="dxa"/>
          </w:tcPr>
          <w:p w14:paraId="1E2A258B" w14:textId="5E6141BC" w:rsidR="001B1515" w:rsidRPr="003D6D95" w:rsidRDefault="00BE2CF2" w:rsidP="00DB6D88">
            <w:pPr>
              <w:pStyle w:val="Infotext"/>
              <w:rPr>
                <w:rFonts w:cs="Arial"/>
                <w:bCs/>
              </w:rPr>
            </w:pPr>
            <w:r w:rsidRPr="003D6D95">
              <w:rPr>
                <w:rFonts w:cs="Arial"/>
                <w:bCs/>
                <w:szCs w:val="28"/>
              </w:rPr>
              <w:t>Review of Current Community Outpatient Services in Harrow</w:t>
            </w:r>
            <w:r w:rsidR="0009345B" w:rsidRPr="003D6D95">
              <w:rPr>
                <w:rFonts w:cs="Arial"/>
                <w:bCs/>
                <w:sz w:val="24"/>
                <w:szCs w:val="24"/>
              </w:rPr>
              <w:br/>
            </w:r>
          </w:p>
        </w:tc>
      </w:tr>
      <w:tr w:rsidR="001B1515" w:rsidRPr="00B92FE6" w14:paraId="524EACC3" w14:textId="77777777" w:rsidTr="00AC28DC">
        <w:tc>
          <w:tcPr>
            <w:tcW w:w="3384" w:type="dxa"/>
          </w:tcPr>
          <w:p w14:paraId="5731415F" w14:textId="77777777" w:rsidR="001B1515" w:rsidRPr="00B92FE6" w:rsidRDefault="001B1515" w:rsidP="00DB6D88">
            <w:pPr>
              <w:pStyle w:val="Infotext"/>
              <w:rPr>
                <w:rFonts w:ascii="Arial Black" w:hAnsi="Arial Black" w:cs="Arial"/>
              </w:rPr>
            </w:pPr>
            <w:r w:rsidRPr="00B92FE6">
              <w:rPr>
                <w:rFonts w:ascii="Arial Black" w:hAnsi="Arial Black" w:cs="Arial"/>
              </w:rPr>
              <w:t>Responsible Officer:</w:t>
            </w:r>
          </w:p>
          <w:p w14:paraId="17A5B381" w14:textId="77777777" w:rsidR="001B1515" w:rsidRPr="00B92FE6" w:rsidRDefault="001B1515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2B0AA452" w14:textId="1117FB7E" w:rsidR="001B1515" w:rsidRPr="00B92FE6" w:rsidRDefault="0009345B" w:rsidP="0009345B">
            <w:pPr>
              <w:rPr>
                <w:rFonts w:cs="Arial"/>
              </w:rPr>
            </w:pPr>
            <w:r>
              <w:rPr>
                <w:sz w:val="28"/>
                <w:szCs w:val="28"/>
                <w:lang w:eastAsia="en-GB"/>
              </w:rPr>
              <w:t>Isha Coombes</w:t>
            </w:r>
            <w:r w:rsidR="00D4610B">
              <w:rPr>
                <w:sz w:val="28"/>
                <w:szCs w:val="28"/>
                <w:lang w:eastAsia="en-GB"/>
              </w:rPr>
              <w:t xml:space="preserve">, </w:t>
            </w:r>
            <w:r>
              <w:rPr>
                <w:sz w:val="28"/>
                <w:szCs w:val="28"/>
                <w:lang w:eastAsia="en-GB"/>
              </w:rPr>
              <w:t>Harrow Borough Director</w:t>
            </w:r>
            <w:r w:rsidR="00DB4C9E">
              <w:rPr>
                <w:sz w:val="28"/>
                <w:szCs w:val="28"/>
                <w:lang w:eastAsia="en-GB"/>
              </w:rPr>
              <w:t xml:space="preserve">, </w:t>
            </w:r>
            <w:proofErr w:type="gramStart"/>
            <w:r w:rsidR="00D4610B" w:rsidRPr="00DB4C9E">
              <w:rPr>
                <w:sz w:val="28"/>
                <w:szCs w:val="28"/>
                <w:lang w:eastAsia="en-GB"/>
              </w:rPr>
              <w:t>North West</w:t>
            </w:r>
            <w:proofErr w:type="gramEnd"/>
            <w:r w:rsidR="00D4610B" w:rsidRPr="00DB4C9E">
              <w:rPr>
                <w:sz w:val="28"/>
                <w:szCs w:val="28"/>
                <w:lang w:eastAsia="en-GB"/>
              </w:rPr>
              <w:t xml:space="preserve"> </w:t>
            </w:r>
            <w:r w:rsidRPr="00DB4C9E">
              <w:rPr>
                <w:sz w:val="28"/>
                <w:szCs w:val="28"/>
                <w:lang w:eastAsia="en-GB"/>
              </w:rPr>
              <w:t xml:space="preserve">London </w:t>
            </w:r>
            <w:r>
              <w:rPr>
                <w:sz w:val="28"/>
                <w:szCs w:val="28"/>
                <w:lang w:eastAsia="en-GB"/>
              </w:rPr>
              <w:t>Integrated Care Board</w:t>
            </w:r>
          </w:p>
        </w:tc>
      </w:tr>
      <w:tr w:rsidR="00B764AC" w:rsidRPr="00B92FE6" w14:paraId="1A0003A3" w14:textId="77777777" w:rsidTr="00AC28DC">
        <w:tc>
          <w:tcPr>
            <w:tcW w:w="3384" w:type="dxa"/>
          </w:tcPr>
          <w:p w14:paraId="2F469FEA" w14:textId="77777777" w:rsidR="00B764AC" w:rsidRPr="00B92FE6" w:rsidRDefault="00B764AC" w:rsidP="00DB6D88">
            <w:pPr>
              <w:pStyle w:val="Infotext"/>
              <w:rPr>
                <w:rFonts w:ascii="Arial Black" w:hAnsi="Arial Black" w:cs="Arial"/>
              </w:rPr>
            </w:pPr>
            <w:r w:rsidRPr="00B92FE6">
              <w:rPr>
                <w:rFonts w:ascii="Arial Black" w:hAnsi="Arial Black" w:cs="Arial"/>
              </w:rPr>
              <w:t>Scrutiny Lead Member area:</w:t>
            </w:r>
          </w:p>
          <w:p w14:paraId="43719D23" w14:textId="77777777" w:rsidR="00B764AC" w:rsidRPr="00B92FE6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72F9B657" w14:textId="77777777" w:rsidR="0061346D" w:rsidRDefault="0061346D" w:rsidP="00E61500">
            <w:pPr>
              <w:pStyle w:val="Infotext"/>
              <w:rPr>
                <w:rFonts w:cs="Arial"/>
              </w:rPr>
            </w:pPr>
          </w:p>
          <w:p w14:paraId="0FF28B64" w14:textId="77777777" w:rsidR="0061346D" w:rsidRDefault="0061346D" w:rsidP="00E6150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Health – Councillor </w:t>
            </w:r>
            <w:r w:rsidRPr="00DE5AF1">
              <w:rPr>
                <w:rFonts w:cs="Arial"/>
              </w:rPr>
              <w:t xml:space="preserve">Chetna Halai </w:t>
            </w:r>
          </w:p>
          <w:p w14:paraId="78A62C57" w14:textId="0DB338CE" w:rsidR="0090555B" w:rsidRPr="00B92FE6" w:rsidRDefault="0061346D" w:rsidP="00E6150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     </w:t>
            </w:r>
            <w:r>
              <w:rPr>
                <w:rFonts w:cs="Arial"/>
              </w:rPr>
              <w:t xml:space="preserve">Councillor </w:t>
            </w:r>
            <w:r w:rsidRPr="00DE5AF1">
              <w:rPr>
                <w:rFonts w:cs="Arial"/>
              </w:rPr>
              <w:t>Antonio Weiss</w:t>
            </w:r>
            <w:r>
              <w:rPr>
                <w:rFonts w:cs="Arial"/>
              </w:rPr>
              <w:t xml:space="preserve">   </w:t>
            </w:r>
          </w:p>
        </w:tc>
      </w:tr>
      <w:tr w:rsidR="00B764AC" w:rsidRPr="00B92FE6" w14:paraId="52898ACB" w14:textId="77777777" w:rsidTr="00AC28DC">
        <w:tc>
          <w:tcPr>
            <w:tcW w:w="3384" w:type="dxa"/>
          </w:tcPr>
          <w:p w14:paraId="0D984BC6" w14:textId="77777777" w:rsidR="00B764AC" w:rsidRPr="00B92FE6" w:rsidRDefault="00B764AC" w:rsidP="00DB6D88">
            <w:pPr>
              <w:pStyle w:val="Infotext"/>
              <w:rPr>
                <w:rFonts w:ascii="Arial Black" w:hAnsi="Arial Black" w:cs="Arial"/>
              </w:rPr>
            </w:pPr>
            <w:r w:rsidRPr="00B92FE6">
              <w:rPr>
                <w:rFonts w:ascii="Arial Black" w:hAnsi="Arial Black" w:cs="Arial"/>
              </w:rPr>
              <w:t>Exempt:</w:t>
            </w:r>
          </w:p>
          <w:p w14:paraId="269FB051" w14:textId="77777777" w:rsidR="00B764AC" w:rsidRPr="00B92FE6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573BCE8B" w14:textId="231C901A" w:rsidR="00B764AC" w:rsidRPr="00B92FE6" w:rsidRDefault="00B764AC" w:rsidP="00DB6D88">
            <w:pPr>
              <w:pStyle w:val="Infotext"/>
              <w:rPr>
                <w:rFonts w:cs="Arial"/>
              </w:rPr>
            </w:pPr>
            <w:r w:rsidRPr="00B92FE6">
              <w:rPr>
                <w:rFonts w:cs="Arial"/>
              </w:rPr>
              <w:t>No</w:t>
            </w:r>
          </w:p>
          <w:p w14:paraId="4F037418" w14:textId="77777777" w:rsidR="00B764AC" w:rsidRPr="00B92FE6" w:rsidRDefault="00B764AC" w:rsidP="00D4610B">
            <w:pPr>
              <w:pStyle w:val="Infotext"/>
              <w:rPr>
                <w:rFonts w:cs="Arial"/>
              </w:rPr>
            </w:pPr>
          </w:p>
        </w:tc>
      </w:tr>
      <w:tr w:rsidR="00B764AC" w:rsidRPr="00B92FE6" w14:paraId="10801F4C" w14:textId="77777777" w:rsidTr="00AC28DC">
        <w:tc>
          <w:tcPr>
            <w:tcW w:w="3384" w:type="dxa"/>
          </w:tcPr>
          <w:p w14:paraId="019E71EE" w14:textId="77777777" w:rsidR="00B764AC" w:rsidRPr="00B92FE6" w:rsidRDefault="00B764AC" w:rsidP="00DB6D88">
            <w:pPr>
              <w:pStyle w:val="Infotext"/>
              <w:rPr>
                <w:rFonts w:ascii="Arial Black" w:hAnsi="Arial Black" w:cs="Arial"/>
              </w:rPr>
            </w:pPr>
            <w:r w:rsidRPr="00B92FE6">
              <w:rPr>
                <w:rFonts w:ascii="Arial Black" w:hAnsi="Arial Black" w:cs="Arial"/>
              </w:rPr>
              <w:t>Wards affected:</w:t>
            </w:r>
          </w:p>
          <w:p w14:paraId="36856551" w14:textId="77777777" w:rsidR="00B764AC" w:rsidRPr="00B92FE6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4EF7B8FA" w14:textId="1AEF8036" w:rsidR="00B764AC" w:rsidRPr="00B92FE6" w:rsidRDefault="00D4610B" w:rsidP="00DB6D88">
            <w:pPr>
              <w:pStyle w:val="Infotext"/>
            </w:pPr>
            <w:r>
              <w:rPr>
                <w:rFonts w:cs="Arial"/>
                <w:szCs w:val="24"/>
              </w:rPr>
              <w:t>All Wards</w:t>
            </w:r>
          </w:p>
        </w:tc>
      </w:tr>
      <w:tr w:rsidR="00B764AC" w14:paraId="2E68568C" w14:textId="77777777" w:rsidTr="00AC28DC">
        <w:tc>
          <w:tcPr>
            <w:tcW w:w="3384" w:type="dxa"/>
          </w:tcPr>
          <w:p w14:paraId="1E3D5D3C" w14:textId="77777777" w:rsidR="00B764AC" w:rsidRPr="00B92FE6" w:rsidRDefault="00B764AC" w:rsidP="00DB6D88">
            <w:pPr>
              <w:pStyle w:val="Infotext"/>
              <w:rPr>
                <w:rFonts w:ascii="Arial Black" w:hAnsi="Arial Black" w:cs="Arial"/>
              </w:rPr>
            </w:pPr>
            <w:r w:rsidRPr="00B92FE6">
              <w:rPr>
                <w:rFonts w:ascii="Arial Black" w:hAnsi="Arial Black" w:cs="Arial"/>
              </w:rPr>
              <w:t>Enclosures:</w:t>
            </w:r>
          </w:p>
          <w:p w14:paraId="332E8A3C" w14:textId="77777777" w:rsidR="00B764AC" w:rsidRPr="00B92FE6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1B79E58F" w14:textId="5F29BAF6" w:rsidR="00B764AC" w:rsidRPr="00B92FE6" w:rsidRDefault="00D4610B" w:rsidP="0009345B">
            <w:pPr>
              <w:pStyle w:val="Infotext"/>
            </w:pPr>
            <w:r>
              <w:t xml:space="preserve">Appendix 1 </w:t>
            </w:r>
            <w:r w:rsidR="0009345B">
              <w:t>–</w:t>
            </w:r>
            <w:r w:rsidR="003D6D95">
              <w:t xml:space="preserve"> </w:t>
            </w:r>
            <w:r w:rsidR="00BE2CF2" w:rsidRPr="003D6D95">
              <w:rPr>
                <w:rFonts w:cs="Arial"/>
                <w:bCs/>
                <w:szCs w:val="28"/>
              </w:rPr>
              <w:t>Review of Current Community Outpatient Services in Harrow</w:t>
            </w:r>
          </w:p>
        </w:tc>
      </w:tr>
    </w:tbl>
    <w:p w14:paraId="73CD0A27" w14:textId="77777777" w:rsidR="001B1515" w:rsidRDefault="001B1515" w:rsidP="001B1515">
      <w:pPr>
        <w:spacing w:after="480"/>
      </w:pPr>
    </w:p>
    <w:p w14:paraId="68C76EBC" w14:textId="77777777" w:rsidR="00F909D0" w:rsidRDefault="00F909D0">
      <w:r>
        <w:rPr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1B1515" w14:paraId="7FD83AE1" w14:textId="77777777" w:rsidTr="00DB6D88">
        <w:trPr>
          <w:tblHeader/>
        </w:trPr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B7D72" w14:textId="023FCE4D" w:rsidR="001B1515" w:rsidRDefault="001B1515" w:rsidP="00DB6D88">
            <w:pPr>
              <w:pStyle w:val="Heading2"/>
              <w:spacing w:before="240" w:after="240"/>
            </w:pPr>
            <w:r>
              <w:lastRenderedPageBreak/>
              <w:t>Section 1 – Summary and Recommendation</w:t>
            </w:r>
          </w:p>
        </w:tc>
      </w:tr>
      <w:tr w:rsidR="001B1515" w14:paraId="2AE8E8CA" w14:textId="77777777" w:rsidTr="00DB6D88">
        <w:trPr>
          <w:tblHeader/>
        </w:trPr>
        <w:tc>
          <w:tcPr>
            <w:tcW w:w="8525" w:type="dxa"/>
            <w:tcBorders>
              <w:left w:val="nil"/>
              <w:bottom w:val="nil"/>
              <w:right w:val="nil"/>
            </w:tcBorders>
          </w:tcPr>
          <w:p w14:paraId="2557B9FC" w14:textId="2F4D735B" w:rsidR="001B1515" w:rsidRPr="001D4051" w:rsidRDefault="001B1515" w:rsidP="00333F76">
            <w:pPr>
              <w:jc w:val="both"/>
              <w:rPr>
                <w:color w:val="000000" w:themeColor="text1"/>
              </w:rPr>
            </w:pPr>
            <w:r w:rsidRPr="001D4051">
              <w:rPr>
                <w:color w:val="000000" w:themeColor="text1"/>
              </w:rPr>
              <w:t>This report</w:t>
            </w:r>
            <w:r w:rsidR="009478A4">
              <w:rPr>
                <w:color w:val="000000" w:themeColor="text1"/>
              </w:rPr>
              <w:t xml:space="preserve"> describes the purpose and </w:t>
            </w:r>
            <w:r w:rsidR="00E61500">
              <w:rPr>
                <w:color w:val="000000" w:themeColor="text1"/>
              </w:rPr>
              <w:t xml:space="preserve">the </w:t>
            </w:r>
            <w:r w:rsidR="009478A4">
              <w:rPr>
                <w:color w:val="000000" w:themeColor="text1"/>
              </w:rPr>
              <w:t xml:space="preserve">approach to </w:t>
            </w:r>
            <w:r w:rsidR="001D4051" w:rsidRPr="001D4051">
              <w:rPr>
                <w:color w:val="000000" w:themeColor="text1"/>
              </w:rPr>
              <w:t xml:space="preserve">the </w:t>
            </w:r>
            <w:proofErr w:type="gramStart"/>
            <w:r w:rsidR="009478A4">
              <w:rPr>
                <w:color w:val="000000" w:themeColor="text1"/>
              </w:rPr>
              <w:t>North West</w:t>
            </w:r>
            <w:proofErr w:type="gramEnd"/>
            <w:r w:rsidR="009478A4">
              <w:rPr>
                <w:color w:val="000000" w:themeColor="text1"/>
              </w:rPr>
              <w:t xml:space="preserve"> London Integrated Care Board’s </w:t>
            </w:r>
            <w:r w:rsidR="00EB4BE6">
              <w:rPr>
                <w:color w:val="000000" w:themeColor="text1"/>
              </w:rPr>
              <w:t>review</w:t>
            </w:r>
            <w:r w:rsidR="009478A4">
              <w:rPr>
                <w:color w:val="000000" w:themeColor="text1"/>
              </w:rPr>
              <w:t xml:space="preserve"> of </w:t>
            </w:r>
            <w:r w:rsidR="00EB4BE6">
              <w:rPr>
                <w:color w:val="000000" w:themeColor="text1"/>
              </w:rPr>
              <w:t xml:space="preserve">community </w:t>
            </w:r>
            <w:r w:rsidR="00D73611">
              <w:rPr>
                <w:color w:val="000000" w:themeColor="text1"/>
              </w:rPr>
              <w:t xml:space="preserve">outpatient </w:t>
            </w:r>
            <w:r w:rsidR="00E61500">
              <w:rPr>
                <w:color w:val="000000" w:themeColor="text1"/>
              </w:rPr>
              <w:t>services</w:t>
            </w:r>
            <w:r w:rsidR="00EB4BE6">
              <w:rPr>
                <w:color w:val="000000" w:themeColor="text1"/>
              </w:rPr>
              <w:t xml:space="preserve"> within the context of </w:t>
            </w:r>
            <w:r w:rsidR="009478A4">
              <w:rPr>
                <w:color w:val="000000" w:themeColor="text1"/>
              </w:rPr>
              <w:t xml:space="preserve">all </w:t>
            </w:r>
            <w:r w:rsidR="00EB4BE6">
              <w:rPr>
                <w:color w:val="000000" w:themeColor="text1"/>
              </w:rPr>
              <w:t>outpatient services in Harrow</w:t>
            </w:r>
            <w:r w:rsidR="009478A4">
              <w:rPr>
                <w:color w:val="000000" w:themeColor="text1"/>
              </w:rPr>
              <w:t>.</w:t>
            </w:r>
          </w:p>
          <w:p w14:paraId="3186AFEC" w14:textId="77777777" w:rsidR="001B1515" w:rsidRDefault="001B1515" w:rsidP="00DB6D88">
            <w:pPr>
              <w:rPr>
                <w:rFonts w:ascii="Arial Bold" w:hAnsi="Arial Bold"/>
                <w:b/>
                <w:sz w:val="28"/>
              </w:rPr>
            </w:pPr>
          </w:p>
          <w:p w14:paraId="1717AD21" w14:textId="5EF64ADA" w:rsidR="001B1515" w:rsidRPr="00A160B2" w:rsidRDefault="001B1515" w:rsidP="00DB6D88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Recommendation: </w:t>
            </w:r>
          </w:p>
          <w:p w14:paraId="40A59243" w14:textId="22B2213B" w:rsidR="001B1515" w:rsidRDefault="00CC2C78" w:rsidP="00CC2C78">
            <w:pPr>
              <w:jc w:val="both"/>
            </w:pPr>
            <w:r>
              <w:t xml:space="preserve">The </w:t>
            </w:r>
            <w:r w:rsidR="00955D85">
              <w:t>Health and Social Care Sub-Committee is requested t</w:t>
            </w:r>
            <w:r w:rsidR="001D4051" w:rsidRPr="001D4051">
              <w:t xml:space="preserve">o note </w:t>
            </w:r>
            <w:r>
              <w:t xml:space="preserve">the purpose and approach of </w:t>
            </w:r>
            <w:r w:rsidR="001D4051" w:rsidRPr="001D4051">
              <w:t>the</w:t>
            </w:r>
            <w:r w:rsidRPr="001D4051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North West</w:t>
            </w:r>
            <w:proofErr w:type="gramEnd"/>
            <w:r>
              <w:rPr>
                <w:color w:val="000000" w:themeColor="text1"/>
              </w:rPr>
              <w:t xml:space="preserve"> London Integrated Care Board’s review of community outpatient </w:t>
            </w:r>
            <w:r>
              <w:rPr>
                <w:color w:val="000000" w:themeColor="text1"/>
              </w:rPr>
              <w:t>services</w:t>
            </w:r>
            <w:r w:rsidR="001D4051" w:rsidRPr="001D4051">
              <w:t>.</w:t>
            </w:r>
          </w:p>
        </w:tc>
      </w:tr>
    </w:tbl>
    <w:p w14:paraId="44374CB3" w14:textId="77777777" w:rsidR="001B1515" w:rsidRPr="004A659A" w:rsidRDefault="001B1515" w:rsidP="004A659A">
      <w:pPr>
        <w:pStyle w:val="Heading2"/>
      </w:pPr>
      <w:r w:rsidRPr="004A659A">
        <w:t>Section 2 – Report</w:t>
      </w:r>
    </w:p>
    <w:p w14:paraId="6FB24055" w14:textId="4475688E" w:rsidR="005441BD" w:rsidRPr="00417067" w:rsidRDefault="005441BD" w:rsidP="004A659A">
      <w:pPr>
        <w:pStyle w:val="Heading3"/>
        <w:rPr>
          <w:sz w:val="28"/>
        </w:rPr>
      </w:pPr>
      <w:r w:rsidRPr="00417067">
        <w:rPr>
          <w:sz w:val="28"/>
        </w:rPr>
        <w:t>Introductory paragraph</w:t>
      </w:r>
    </w:p>
    <w:p w14:paraId="70658DA3" w14:textId="404C29AC" w:rsidR="00B051D8" w:rsidRDefault="00B051D8" w:rsidP="00B051D8">
      <w:pPr>
        <w:jc w:val="both"/>
        <w:rPr>
          <w:rFonts w:cs="Arial"/>
          <w:szCs w:val="24"/>
        </w:rPr>
      </w:pPr>
      <w:r w:rsidRPr="00E80A70">
        <w:rPr>
          <w:rFonts w:cs="Arial"/>
          <w:szCs w:val="24"/>
        </w:rPr>
        <w:t xml:space="preserve">In Harrow a </w:t>
      </w:r>
      <w:r>
        <w:rPr>
          <w:rFonts w:cs="Arial"/>
          <w:szCs w:val="24"/>
        </w:rPr>
        <w:t xml:space="preserve">range </w:t>
      </w:r>
      <w:r w:rsidRPr="00E80A70">
        <w:rPr>
          <w:rFonts w:cs="Arial"/>
          <w:szCs w:val="24"/>
        </w:rPr>
        <w:t xml:space="preserve">of community </w:t>
      </w:r>
      <w:r>
        <w:rPr>
          <w:rFonts w:cs="Arial"/>
          <w:szCs w:val="24"/>
        </w:rPr>
        <w:t xml:space="preserve">outpatient </w:t>
      </w:r>
      <w:r w:rsidRPr="00E80A70">
        <w:rPr>
          <w:rFonts w:cs="Arial"/>
          <w:szCs w:val="24"/>
        </w:rPr>
        <w:t xml:space="preserve">services are currently being provided through a </w:t>
      </w:r>
      <w:r>
        <w:rPr>
          <w:rFonts w:cs="Arial"/>
          <w:szCs w:val="24"/>
        </w:rPr>
        <w:t xml:space="preserve">community </w:t>
      </w:r>
      <w:r w:rsidRPr="00E80A70">
        <w:rPr>
          <w:rFonts w:cs="Arial"/>
          <w:szCs w:val="24"/>
        </w:rPr>
        <w:t>contract with Harrow Health</w:t>
      </w:r>
      <w:r>
        <w:rPr>
          <w:rFonts w:cs="Arial"/>
          <w:szCs w:val="24"/>
        </w:rPr>
        <w:t xml:space="preserve"> Community Interest Company (HHCIC)</w:t>
      </w:r>
      <w:r w:rsidRPr="00E80A70">
        <w:rPr>
          <w:rFonts w:cs="Arial"/>
          <w:szCs w:val="24"/>
        </w:rPr>
        <w:t>. This contract has been in place for ten years and</w:t>
      </w:r>
      <w:r>
        <w:rPr>
          <w:rFonts w:cs="Arial"/>
          <w:szCs w:val="24"/>
        </w:rPr>
        <w:t xml:space="preserve"> its latest extension</w:t>
      </w:r>
      <w:r w:rsidRPr="00E80A70">
        <w:rPr>
          <w:rFonts w:cs="Arial"/>
          <w:szCs w:val="24"/>
        </w:rPr>
        <w:t xml:space="preserve"> is coming to an end</w:t>
      </w:r>
      <w:r>
        <w:rPr>
          <w:rFonts w:cs="Arial"/>
          <w:szCs w:val="24"/>
        </w:rPr>
        <w:t xml:space="preserve"> on 30 September 2023.</w:t>
      </w:r>
    </w:p>
    <w:p w14:paraId="44E78746" w14:textId="77777777" w:rsidR="00B051D8" w:rsidRPr="00E80A70" w:rsidRDefault="00B051D8" w:rsidP="00B051D8">
      <w:pPr>
        <w:jc w:val="both"/>
        <w:rPr>
          <w:rFonts w:cs="Arial"/>
          <w:szCs w:val="24"/>
        </w:rPr>
      </w:pPr>
    </w:p>
    <w:p w14:paraId="0A357F8D" w14:textId="027F57A5" w:rsidR="00B051D8" w:rsidRDefault="00B051D8" w:rsidP="00B051D8">
      <w:pPr>
        <w:jc w:val="both"/>
        <w:rPr>
          <w:rFonts w:cs="Arial"/>
          <w:szCs w:val="24"/>
        </w:rPr>
      </w:pPr>
      <w:r w:rsidRPr="00E80A70">
        <w:rPr>
          <w:rFonts w:cs="Arial"/>
          <w:szCs w:val="24"/>
        </w:rPr>
        <w:t xml:space="preserve">During the tenure of this contract Harrow CCG became part of NHS </w:t>
      </w:r>
      <w:proofErr w:type="gramStart"/>
      <w:r w:rsidRPr="00E80A70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orth </w:t>
      </w:r>
      <w:r w:rsidRPr="00E80A70">
        <w:rPr>
          <w:rFonts w:cs="Arial"/>
          <w:szCs w:val="24"/>
        </w:rPr>
        <w:t>W</w:t>
      </w:r>
      <w:r>
        <w:rPr>
          <w:rFonts w:cs="Arial"/>
          <w:szCs w:val="24"/>
        </w:rPr>
        <w:t>est</w:t>
      </w:r>
      <w:proofErr w:type="gramEnd"/>
      <w:r w:rsidRPr="00E80A70">
        <w:rPr>
          <w:rFonts w:cs="Arial"/>
          <w:szCs w:val="24"/>
        </w:rPr>
        <w:t xml:space="preserve"> London. This means that as part of the</w:t>
      </w:r>
      <w:r>
        <w:rPr>
          <w:rFonts w:cs="Arial"/>
          <w:szCs w:val="24"/>
        </w:rPr>
        <w:t xml:space="preserve"> forward planning for these services, some are being reviewed and will be procured across </w:t>
      </w:r>
      <w:proofErr w:type="gramStart"/>
      <w:r>
        <w:rPr>
          <w:rFonts w:cs="Arial"/>
          <w:szCs w:val="24"/>
        </w:rPr>
        <w:t>North West</w:t>
      </w:r>
      <w:proofErr w:type="gramEnd"/>
      <w:r w:rsidR="00EB4BE6">
        <w:rPr>
          <w:rFonts w:cs="Arial"/>
          <w:szCs w:val="24"/>
        </w:rPr>
        <w:t xml:space="preserve"> London while others will be reviewed locally (see table below).</w:t>
      </w:r>
    </w:p>
    <w:p w14:paraId="6A520C50" w14:textId="68AF3BD1" w:rsidR="00EB4BE6" w:rsidRDefault="00EB4BE6" w:rsidP="00B051D8">
      <w:pPr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3907"/>
        <w:gridCol w:w="2002"/>
      </w:tblGrid>
      <w:tr w:rsidR="00EB4BE6" w:rsidRPr="00E80A70" w14:paraId="71B0749F" w14:textId="77777777" w:rsidTr="00883463"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EC088" w14:textId="77777777" w:rsidR="00EB4BE6" w:rsidRPr="00E80A70" w:rsidRDefault="00EB4BE6" w:rsidP="00883463">
            <w:pPr>
              <w:pStyle w:val="Default"/>
              <w:rPr>
                <w:b/>
                <w:bCs/>
              </w:rPr>
            </w:pPr>
            <w:r w:rsidRPr="00E80A70">
              <w:rPr>
                <w:b/>
                <w:bCs/>
              </w:rPr>
              <w:t>Service name</w:t>
            </w:r>
          </w:p>
          <w:p w14:paraId="50ACF6AD" w14:textId="77777777" w:rsidR="00EB4BE6" w:rsidRPr="00E80A70" w:rsidRDefault="00EB4BE6" w:rsidP="00883463">
            <w:pPr>
              <w:pStyle w:val="Default"/>
              <w:rPr>
                <w:b/>
                <w:bCs/>
              </w:rPr>
            </w:pPr>
            <w:r w:rsidRPr="00E80A70">
              <w:rPr>
                <w:b/>
                <w:bCs/>
              </w:rPr>
              <w:t xml:space="preserve">            </w:t>
            </w:r>
          </w:p>
          <w:p w14:paraId="16801973" w14:textId="77777777" w:rsidR="00EB4BE6" w:rsidRPr="00E80A70" w:rsidRDefault="00EB4BE6" w:rsidP="00883463">
            <w:pPr>
              <w:pStyle w:val="Default"/>
              <w:rPr>
                <w:b/>
                <w:bCs/>
              </w:rPr>
            </w:pP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D1902" w14:textId="77777777" w:rsidR="00EB4BE6" w:rsidRPr="00E80A70" w:rsidRDefault="00EB4BE6" w:rsidP="00883463">
            <w:pPr>
              <w:rPr>
                <w:rFonts w:cs="Arial"/>
                <w:b/>
                <w:bCs/>
                <w:szCs w:val="24"/>
              </w:rPr>
            </w:pPr>
            <w:r w:rsidRPr="00E80A70">
              <w:rPr>
                <w:rFonts w:cs="Arial"/>
                <w:b/>
                <w:bCs/>
                <w:szCs w:val="24"/>
              </w:rPr>
              <w:t>What is provided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53F76" w14:textId="77777777" w:rsidR="00EB4BE6" w:rsidRPr="00E80A70" w:rsidRDefault="00EB4BE6" w:rsidP="00883463">
            <w:pPr>
              <w:rPr>
                <w:rFonts w:cs="Arial"/>
                <w:b/>
                <w:bCs/>
                <w:szCs w:val="24"/>
              </w:rPr>
            </w:pPr>
            <w:r w:rsidRPr="00E80A70">
              <w:rPr>
                <w:rFonts w:cs="Arial"/>
                <w:b/>
                <w:bCs/>
                <w:szCs w:val="24"/>
              </w:rPr>
              <w:t xml:space="preserve">Review </w:t>
            </w:r>
          </w:p>
        </w:tc>
      </w:tr>
      <w:tr w:rsidR="00EB4BE6" w:rsidRPr="00E80A70" w14:paraId="01A40D25" w14:textId="77777777" w:rsidTr="00883463"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E10A" w14:textId="77777777" w:rsidR="00EB4BE6" w:rsidRPr="00E80A70" w:rsidRDefault="00EB4BE6" w:rsidP="00883463">
            <w:pPr>
              <w:pStyle w:val="Default"/>
            </w:pPr>
            <w:r w:rsidRPr="00E80A70">
              <w:t>Community Ophthalmology</w:t>
            </w:r>
          </w:p>
          <w:p w14:paraId="00A3F80E" w14:textId="77777777" w:rsidR="00EB4BE6" w:rsidRPr="00E80A70" w:rsidRDefault="00EB4BE6" w:rsidP="00883463">
            <w:pPr>
              <w:rPr>
                <w:rFonts w:cs="Arial"/>
                <w:szCs w:val="24"/>
              </w:rPr>
            </w:pP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FE623" w14:textId="77777777" w:rsidR="00EB4BE6" w:rsidRPr="00E80A70" w:rsidRDefault="00EB4BE6" w:rsidP="00883463">
            <w:pPr>
              <w:rPr>
                <w:rFonts w:cs="Arial"/>
                <w:szCs w:val="24"/>
              </w:rPr>
            </w:pPr>
            <w:r w:rsidRPr="00E80A70">
              <w:rPr>
                <w:rFonts w:cs="Arial"/>
                <w:szCs w:val="24"/>
              </w:rPr>
              <w:t xml:space="preserve">Clinics for acute and chronic eye conditions </w:t>
            </w:r>
            <w:proofErr w:type="gramStart"/>
            <w:r w:rsidRPr="00E80A70">
              <w:rPr>
                <w:rFonts w:cs="Arial"/>
                <w:szCs w:val="24"/>
              </w:rPr>
              <w:t>including:</w:t>
            </w:r>
            <w:proofErr w:type="gramEnd"/>
            <w:r w:rsidRPr="00E80A70">
              <w:rPr>
                <w:rFonts w:cs="Arial"/>
                <w:szCs w:val="24"/>
              </w:rPr>
              <w:t xml:space="preserve"> glaucoma allergies and inflammation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C9745" w14:textId="77777777" w:rsidR="00EB4BE6" w:rsidRPr="00E80A70" w:rsidRDefault="00EB4BE6" w:rsidP="00883463">
            <w:pPr>
              <w:rPr>
                <w:rFonts w:cs="Arial"/>
                <w:szCs w:val="24"/>
              </w:rPr>
            </w:pPr>
            <w:r w:rsidRPr="00E80A70">
              <w:rPr>
                <w:rFonts w:cs="Arial"/>
                <w:szCs w:val="24"/>
              </w:rPr>
              <w:t>NW London wide</w:t>
            </w:r>
          </w:p>
        </w:tc>
      </w:tr>
      <w:tr w:rsidR="00EB4BE6" w:rsidRPr="00E80A70" w14:paraId="21274D57" w14:textId="77777777" w:rsidTr="00EB4BE6">
        <w:trPr>
          <w:trHeight w:val="889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902C9" w14:textId="739268F2" w:rsidR="00EB4BE6" w:rsidRPr="00E80A70" w:rsidRDefault="00EB4BE6" w:rsidP="00883463">
            <w:pPr>
              <w:pStyle w:val="Default"/>
            </w:pPr>
            <w:r w:rsidRPr="00E80A70">
              <w:t xml:space="preserve">Community musculoskeletal (MSK) services      </w:t>
            </w:r>
          </w:p>
          <w:p w14:paraId="420C914B" w14:textId="77777777" w:rsidR="00EB4BE6" w:rsidRPr="00E80A70" w:rsidRDefault="00EB4BE6" w:rsidP="00883463">
            <w:pPr>
              <w:pStyle w:val="Default"/>
            </w:pPr>
            <w:r>
              <w:t>         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B908" w14:textId="77777777" w:rsidR="00EB4BE6" w:rsidRPr="00E80A70" w:rsidRDefault="00EB4BE6" w:rsidP="00883463">
            <w:pPr>
              <w:rPr>
                <w:rFonts w:cs="Arial"/>
                <w:szCs w:val="24"/>
              </w:rPr>
            </w:pPr>
            <w:r w:rsidRPr="00E80A70">
              <w:rPr>
                <w:rFonts w:cs="Arial"/>
                <w:szCs w:val="24"/>
              </w:rPr>
              <w:t>Clinics to help with joint and back problems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D54B3" w14:textId="77777777" w:rsidR="00EB4BE6" w:rsidRPr="00E80A70" w:rsidRDefault="00EB4BE6" w:rsidP="00883463">
            <w:pPr>
              <w:rPr>
                <w:rFonts w:cs="Arial"/>
                <w:szCs w:val="24"/>
              </w:rPr>
            </w:pPr>
            <w:r w:rsidRPr="00E80A70">
              <w:rPr>
                <w:rFonts w:cs="Arial"/>
                <w:szCs w:val="24"/>
              </w:rPr>
              <w:t>NW London wide</w:t>
            </w:r>
          </w:p>
        </w:tc>
      </w:tr>
      <w:tr w:rsidR="00EB4BE6" w:rsidRPr="00E80A70" w14:paraId="277F1608" w14:textId="77777777" w:rsidTr="00883463"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ED52C" w14:textId="77777777" w:rsidR="00EB4BE6" w:rsidRPr="00E80A70" w:rsidRDefault="00EB4BE6" w:rsidP="00883463">
            <w:pPr>
              <w:rPr>
                <w:rFonts w:cs="Arial"/>
                <w:szCs w:val="24"/>
              </w:rPr>
            </w:pPr>
            <w:r w:rsidRPr="00E80A70">
              <w:rPr>
                <w:rFonts w:cs="Arial"/>
                <w:szCs w:val="24"/>
              </w:rPr>
              <w:t xml:space="preserve">Community Physiotherapy 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4FFA1" w14:textId="77777777" w:rsidR="00EB4BE6" w:rsidRPr="00E80A70" w:rsidRDefault="00EB4BE6" w:rsidP="00883463">
            <w:pPr>
              <w:rPr>
                <w:rFonts w:cs="Arial"/>
                <w:szCs w:val="24"/>
              </w:rPr>
            </w:pPr>
            <w:r w:rsidRPr="00E80A70">
              <w:rPr>
                <w:rFonts w:cs="Arial"/>
                <w:szCs w:val="24"/>
              </w:rPr>
              <w:t>Physiotherapy services GPs can book into directly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FAD10" w14:textId="77777777" w:rsidR="00EB4BE6" w:rsidRPr="00E80A70" w:rsidRDefault="00EB4BE6" w:rsidP="0088346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NW London wide</w:t>
            </w:r>
          </w:p>
        </w:tc>
      </w:tr>
      <w:tr w:rsidR="00EB4BE6" w:rsidRPr="00E80A70" w14:paraId="2A652E20" w14:textId="77777777" w:rsidTr="00883463"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CF4DE" w14:textId="77777777" w:rsidR="00EB4BE6" w:rsidRPr="00E80A70" w:rsidRDefault="00EB4BE6" w:rsidP="00883463">
            <w:pPr>
              <w:rPr>
                <w:rFonts w:cs="Arial"/>
                <w:szCs w:val="24"/>
              </w:rPr>
            </w:pPr>
            <w:r w:rsidRPr="00E80A70">
              <w:rPr>
                <w:rFonts w:cs="Arial"/>
                <w:szCs w:val="24"/>
              </w:rPr>
              <w:t xml:space="preserve">Community Neurology 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AB8D2" w14:textId="77777777" w:rsidR="00EB4BE6" w:rsidRPr="00E80A70" w:rsidRDefault="00EB4BE6" w:rsidP="00883463">
            <w:pPr>
              <w:rPr>
                <w:rFonts w:cs="Arial"/>
                <w:szCs w:val="24"/>
              </w:rPr>
            </w:pPr>
            <w:r w:rsidRPr="00E80A70">
              <w:rPr>
                <w:rFonts w:cs="Arial"/>
                <w:szCs w:val="24"/>
              </w:rPr>
              <w:t>Headache clinic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137C5" w14:textId="77777777" w:rsidR="00EB4BE6" w:rsidRPr="00E80A70" w:rsidRDefault="00EB4BE6" w:rsidP="00883463">
            <w:pPr>
              <w:rPr>
                <w:rFonts w:cs="Arial"/>
                <w:szCs w:val="24"/>
              </w:rPr>
            </w:pPr>
            <w:r w:rsidRPr="00E80A70">
              <w:rPr>
                <w:rFonts w:cs="Arial"/>
                <w:szCs w:val="24"/>
              </w:rPr>
              <w:t>Harrow</w:t>
            </w:r>
          </w:p>
        </w:tc>
      </w:tr>
      <w:tr w:rsidR="00EB4BE6" w:rsidRPr="00E80A70" w14:paraId="42309194" w14:textId="77777777" w:rsidTr="00883463"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745E3" w14:textId="77777777" w:rsidR="00EB4BE6" w:rsidRPr="00E80A70" w:rsidRDefault="00EB4BE6" w:rsidP="00883463">
            <w:pPr>
              <w:pStyle w:val="Default"/>
            </w:pPr>
            <w:r w:rsidRPr="00E80A70">
              <w:t xml:space="preserve">Community Gastroenterology     </w:t>
            </w:r>
          </w:p>
          <w:p w14:paraId="5A30DB26" w14:textId="77777777" w:rsidR="00EB4BE6" w:rsidRPr="00E80A70" w:rsidRDefault="00EB4BE6" w:rsidP="00883463">
            <w:pPr>
              <w:rPr>
                <w:rFonts w:cs="Arial"/>
                <w:szCs w:val="24"/>
              </w:rPr>
            </w:pP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417CC" w14:textId="77777777" w:rsidR="00EB4BE6" w:rsidRPr="00E80A70" w:rsidRDefault="00EB4BE6" w:rsidP="00883463">
            <w:pPr>
              <w:rPr>
                <w:rFonts w:cs="Arial"/>
                <w:szCs w:val="24"/>
              </w:rPr>
            </w:pPr>
            <w:r w:rsidRPr="00E80A70">
              <w:rPr>
                <w:rFonts w:cs="Arial"/>
                <w:szCs w:val="24"/>
              </w:rPr>
              <w:t>Clinics for stomach and bowel check-ups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1C286" w14:textId="77777777" w:rsidR="00EB4BE6" w:rsidRPr="00E80A70" w:rsidRDefault="00EB4BE6" w:rsidP="00883463">
            <w:pPr>
              <w:rPr>
                <w:rFonts w:cs="Arial"/>
                <w:szCs w:val="24"/>
              </w:rPr>
            </w:pPr>
            <w:r w:rsidRPr="00E80A70">
              <w:rPr>
                <w:rFonts w:cs="Arial"/>
                <w:szCs w:val="24"/>
              </w:rPr>
              <w:t>Harrow</w:t>
            </w:r>
          </w:p>
        </w:tc>
      </w:tr>
      <w:tr w:rsidR="00EB4BE6" w:rsidRPr="00E80A70" w14:paraId="22A07CB2" w14:textId="77777777" w:rsidTr="00883463"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DC131" w14:textId="77777777" w:rsidR="00EB4BE6" w:rsidRPr="00E80A70" w:rsidRDefault="00EB4BE6" w:rsidP="00883463">
            <w:pPr>
              <w:rPr>
                <w:rFonts w:cs="Arial"/>
                <w:szCs w:val="24"/>
              </w:rPr>
            </w:pPr>
            <w:r w:rsidRPr="00E80A70">
              <w:rPr>
                <w:rFonts w:cs="Arial"/>
                <w:szCs w:val="24"/>
              </w:rPr>
              <w:t>Community Out-patients paediatrics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95A41" w14:textId="77777777" w:rsidR="00EB4BE6" w:rsidRPr="00E80A70" w:rsidRDefault="00EB4BE6" w:rsidP="00883463">
            <w:pPr>
              <w:rPr>
                <w:rFonts w:cs="Arial"/>
                <w:szCs w:val="24"/>
              </w:rPr>
            </w:pPr>
            <w:r w:rsidRPr="00E80A70">
              <w:rPr>
                <w:rFonts w:cs="Arial"/>
                <w:szCs w:val="24"/>
              </w:rPr>
              <w:t>Children’s clinics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84734" w14:textId="77777777" w:rsidR="00EB4BE6" w:rsidRPr="00E80A70" w:rsidRDefault="00EB4BE6" w:rsidP="00883463">
            <w:pPr>
              <w:rPr>
                <w:rFonts w:cs="Arial"/>
                <w:szCs w:val="24"/>
              </w:rPr>
            </w:pPr>
            <w:r w:rsidRPr="00E80A70">
              <w:rPr>
                <w:rFonts w:cs="Arial"/>
                <w:szCs w:val="24"/>
              </w:rPr>
              <w:t>Harrow</w:t>
            </w:r>
          </w:p>
        </w:tc>
      </w:tr>
      <w:tr w:rsidR="00EB4BE6" w:rsidRPr="00E80A70" w14:paraId="49D56533" w14:textId="77777777" w:rsidTr="00883463"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C743C" w14:textId="77777777" w:rsidR="00EB4BE6" w:rsidRPr="00E80A70" w:rsidRDefault="00EB4BE6" w:rsidP="00883463">
            <w:pPr>
              <w:rPr>
                <w:rFonts w:cs="Arial"/>
                <w:szCs w:val="24"/>
              </w:rPr>
            </w:pPr>
            <w:r w:rsidRPr="00E80A70">
              <w:rPr>
                <w:rFonts w:cs="Arial"/>
                <w:szCs w:val="24"/>
              </w:rPr>
              <w:t>Community E</w:t>
            </w:r>
            <w:r>
              <w:rPr>
                <w:rFonts w:cs="Arial"/>
                <w:szCs w:val="24"/>
              </w:rPr>
              <w:t xml:space="preserve">ar, </w:t>
            </w:r>
            <w:r w:rsidRPr="00E80A70">
              <w:rPr>
                <w:rFonts w:cs="Arial"/>
                <w:szCs w:val="24"/>
              </w:rPr>
              <w:t>N</w:t>
            </w:r>
            <w:r>
              <w:rPr>
                <w:rFonts w:cs="Arial"/>
                <w:szCs w:val="24"/>
              </w:rPr>
              <w:t xml:space="preserve">ose &amp; </w:t>
            </w:r>
            <w:r w:rsidRPr="00E80A70">
              <w:rPr>
                <w:rFonts w:cs="Arial"/>
                <w:szCs w:val="24"/>
              </w:rPr>
              <w:t>T</w:t>
            </w:r>
            <w:r>
              <w:rPr>
                <w:rFonts w:cs="Arial"/>
                <w:szCs w:val="24"/>
              </w:rPr>
              <w:t>hroat (ENT)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3E4C9" w14:textId="77777777" w:rsidR="00EB4BE6" w:rsidRPr="00E80A70" w:rsidRDefault="00EB4BE6" w:rsidP="00883463">
            <w:pPr>
              <w:rPr>
                <w:rFonts w:cs="Arial"/>
                <w:szCs w:val="24"/>
              </w:rPr>
            </w:pPr>
            <w:r w:rsidRPr="00E80A70">
              <w:rPr>
                <w:rFonts w:cs="Arial"/>
                <w:szCs w:val="24"/>
              </w:rPr>
              <w:t xml:space="preserve">Ear, </w:t>
            </w:r>
            <w:proofErr w:type="gramStart"/>
            <w:r w:rsidRPr="00E80A70">
              <w:rPr>
                <w:rFonts w:cs="Arial"/>
                <w:szCs w:val="24"/>
              </w:rPr>
              <w:t>nose</w:t>
            </w:r>
            <w:proofErr w:type="gramEnd"/>
            <w:r w:rsidRPr="00E80A70">
              <w:rPr>
                <w:rFonts w:cs="Arial"/>
                <w:szCs w:val="24"/>
              </w:rPr>
              <w:t xml:space="preserve"> and throat clinics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B555" w14:textId="77777777" w:rsidR="00EB4BE6" w:rsidRPr="00E80A70" w:rsidRDefault="00EB4BE6" w:rsidP="00883463">
            <w:pPr>
              <w:rPr>
                <w:rFonts w:cs="Arial"/>
                <w:szCs w:val="24"/>
              </w:rPr>
            </w:pPr>
            <w:r w:rsidRPr="00E80A70">
              <w:rPr>
                <w:rFonts w:cs="Arial"/>
                <w:szCs w:val="24"/>
              </w:rPr>
              <w:t>Harrow</w:t>
            </w:r>
          </w:p>
        </w:tc>
      </w:tr>
      <w:tr w:rsidR="00EB4BE6" w:rsidRPr="00E80A70" w14:paraId="475B117D" w14:textId="77777777" w:rsidTr="00883463"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2EC5" w14:textId="77777777" w:rsidR="00EB4BE6" w:rsidRPr="00E80A70" w:rsidRDefault="00EB4BE6" w:rsidP="00883463">
            <w:pPr>
              <w:pStyle w:val="Default"/>
            </w:pPr>
            <w:r w:rsidRPr="00E80A70">
              <w:t>A</w:t>
            </w:r>
            <w:r>
              <w:t xml:space="preserve">ttention </w:t>
            </w:r>
            <w:r w:rsidRPr="00E80A70">
              <w:t>D</w:t>
            </w:r>
            <w:r>
              <w:t xml:space="preserve">eficit </w:t>
            </w:r>
            <w:r w:rsidRPr="00E80A70">
              <w:t>H</w:t>
            </w:r>
            <w:r>
              <w:t xml:space="preserve">yperactivity </w:t>
            </w:r>
            <w:r w:rsidRPr="00E80A70">
              <w:t>D</w:t>
            </w:r>
            <w:r>
              <w:t>isorder (ADHD)</w:t>
            </w:r>
          </w:p>
          <w:p w14:paraId="5B46FBDB" w14:textId="77777777" w:rsidR="00EB4BE6" w:rsidRPr="00E80A70" w:rsidRDefault="00EB4BE6" w:rsidP="00883463">
            <w:pPr>
              <w:rPr>
                <w:rFonts w:cs="Arial"/>
                <w:szCs w:val="24"/>
              </w:rPr>
            </w:pP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8D48D" w14:textId="77777777" w:rsidR="00EB4BE6" w:rsidRPr="00E80A70" w:rsidRDefault="00EB4BE6" w:rsidP="00883463">
            <w:pPr>
              <w:rPr>
                <w:rFonts w:cs="Arial"/>
                <w:szCs w:val="24"/>
              </w:rPr>
            </w:pPr>
            <w:r w:rsidRPr="00E80A70">
              <w:rPr>
                <w:rFonts w:cs="Arial"/>
                <w:szCs w:val="24"/>
              </w:rPr>
              <w:t xml:space="preserve">Clinics to </w:t>
            </w:r>
            <w:r>
              <w:rPr>
                <w:rFonts w:cs="Arial"/>
                <w:szCs w:val="24"/>
              </w:rPr>
              <w:t xml:space="preserve">provide assessment and </w:t>
            </w:r>
            <w:r w:rsidRPr="00E80A70">
              <w:rPr>
                <w:rFonts w:cs="Arial"/>
                <w:szCs w:val="24"/>
              </w:rPr>
              <w:t>support for patients with ADHD</w:t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16D1" w14:textId="77777777" w:rsidR="00EB4BE6" w:rsidRPr="00E80A70" w:rsidRDefault="00EB4BE6" w:rsidP="00883463">
            <w:pPr>
              <w:rPr>
                <w:rFonts w:cs="Arial"/>
                <w:szCs w:val="24"/>
              </w:rPr>
            </w:pPr>
            <w:r w:rsidRPr="00E80A70">
              <w:rPr>
                <w:rFonts w:cs="Arial"/>
                <w:szCs w:val="24"/>
              </w:rPr>
              <w:t>NW London wide</w:t>
            </w:r>
          </w:p>
        </w:tc>
      </w:tr>
    </w:tbl>
    <w:p w14:paraId="6F56C408" w14:textId="7F7A668B" w:rsidR="00B051D8" w:rsidRDefault="00B051D8" w:rsidP="00EB4BE6">
      <w:pPr>
        <w:jc w:val="both"/>
      </w:pPr>
      <w:r w:rsidRPr="00EB4BE6">
        <w:rPr>
          <w:rFonts w:cs="Arial"/>
          <w:szCs w:val="24"/>
        </w:rPr>
        <w:t>A key</w:t>
      </w:r>
      <w:r>
        <w:t xml:space="preserve"> priority for the review </w:t>
      </w:r>
      <w:r w:rsidRPr="00E80A70">
        <w:t>a</w:t>
      </w:r>
      <w:r>
        <w:t>nd provision of future services</w:t>
      </w:r>
      <w:r w:rsidRPr="00E80A70">
        <w:t xml:space="preserve"> is to ensure that </w:t>
      </w:r>
      <w:r>
        <w:t xml:space="preserve">all patients/residents in Harrow have </w:t>
      </w:r>
      <w:r w:rsidRPr="00E80A70">
        <w:t>access</w:t>
      </w:r>
      <w:r>
        <w:t xml:space="preserve"> to an equitable </w:t>
      </w:r>
      <w:r w:rsidRPr="00E80A70">
        <w:t xml:space="preserve">provision </w:t>
      </w:r>
      <w:r>
        <w:t xml:space="preserve">of service, no matter where they live in the borough, or which GP practice they are registered with. </w:t>
      </w:r>
    </w:p>
    <w:p w14:paraId="5EE5CD25" w14:textId="77777777" w:rsidR="00EB4BE6" w:rsidRDefault="00EB4BE6" w:rsidP="00EB4BE6">
      <w:pPr>
        <w:jc w:val="both"/>
      </w:pPr>
    </w:p>
    <w:p w14:paraId="6EAB64EF" w14:textId="3AE81A24" w:rsidR="00B051D8" w:rsidRDefault="00B051D8" w:rsidP="00B051D8">
      <w:pPr>
        <w:pStyle w:val="Default"/>
        <w:spacing w:after="274"/>
        <w:jc w:val="both"/>
      </w:pPr>
      <w:r w:rsidRPr="00E80A70">
        <w:t xml:space="preserve">The review will focus on understanding of </w:t>
      </w:r>
      <w:r>
        <w:t xml:space="preserve">the </w:t>
      </w:r>
      <w:r w:rsidRPr="00E80A70">
        <w:t>data and information on local health inequalities and their impact on service delivery and transformation</w:t>
      </w:r>
      <w:r>
        <w:t>, as well as cu</w:t>
      </w:r>
      <w:r w:rsidR="00E61500">
        <w:t xml:space="preserve">rrent evidence of best practice. </w:t>
      </w:r>
      <w:r w:rsidRPr="00E80A70">
        <w:t xml:space="preserve">Feedback and engagement with current service users will be built into the review process and </w:t>
      </w:r>
      <w:r>
        <w:t xml:space="preserve">any subsequent </w:t>
      </w:r>
      <w:r w:rsidRPr="00E80A70">
        <w:t>procurement.</w:t>
      </w:r>
      <w:r>
        <w:t xml:space="preserve"> </w:t>
      </w:r>
    </w:p>
    <w:p w14:paraId="59EB87FB" w14:textId="76A56E5C" w:rsidR="00DA38BD" w:rsidRDefault="004E104D" w:rsidP="00622741">
      <w:pPr>
        <w:pStyle w:val="Heading3"/>
      </w:pPr>
      <w:r w:rsidRPr="000F2599">
        <w:t>Ward Councillors’ comments</w:t>
      </w:r>
    </w:p>
    <w:p w14:paraId="4387B8BB" w14:textId="2C436AFD" w:rsidR="0090555B" w:rsidRPr="0090555B" w:rsidRDefault="0090555B" w:rsidP="0090555B">
      <w:r w:rsidRPr="0090555B">
        <w:t>Not applicable as report relates to all wards.</w:t>
      </w:r>
    </w:p>
    <w:p w14:paraId="2E7E4B4B" w14:textId="77777777" w:rsidR="00333F76" w:rsidRDefault="00333F76" w:rsidP="00333F76">
      <w:pPr>
        <w:pStyle w:val="Heading2"/>
        <w:spacing w:before="0"/>
        <w:rPr>
          <w:sz w:val="28"/>
          <w:szCs w:val="28"/>
        </w:rPr>
      </w:pPr>
    </w:p>
    <w:p w14:paraId="3BCC847F" w14:textId="2AEF0422" w:rsidR="005441BD" w:rsidRPr="00333F76" w:rsidRDefault="005441BD" w:rsidP="00333F76">
      <w:pPr>
        <w:pStyle w:val="Heading2"/>
        <w:spacing w:before="0"/>
        <w:rPr>
          <w:sz w:val="28"/>
          <w:szCs w:val="28"/>
        </w:rPr>
      </w:pPr>
      <w:r w:rsidRPr="00333F76">
        <w:rPr>
          <w:sz w:val="28"/>
          <w:szCs w:val="28"/>
        </w:rPr>
        <w:t>Financial Implications</w:t>
      </w:r>
    </w:p>
    <w:p w14:paraId="3003CD96" w14:textId="2B129AF7" w:rsidR="005441BD" w:rsidRDefault="001D4051" w:rsidP="00333F76">
      <w:r>
        <w:t>None for Council</w:t>
      </w:r>
    </w:p>
    <w:p w14:paraId="06379413" w14:textId="77777777" w:rsidR="00333F76" w:rsidRDefault="00333F76" w:rsidP="00333F76">
      <w:pPr>
        <w:pStyle w:val="Heading2"/>
        <w:spacing w:before="0"/>
      </w:pPr>
    </w:p>
    <w:p w14:paraId="3097FFDD" w14:textId="5546B88B" w:rsidR="005441BD" w:rsidRPr="000F2599" w:rsidRDefault="00552DCB" w:rsidP="00333F76">
      <w:pPr>
        <w:pStyle w:val="Heading2"/>
        <w:spacing w:before="0"/>
      </w:pPr>
      <w:r>
        <w:t>Perf</w:t>
      </w:r>
      <w:r w:rsidRPr="000F2599">
        <w:t>ormance</w:t>
      </w:r>
      <w:r w:rsidR="005441BD" w:rsidRPr="000F2599">
        <w:t xml:space="preserve"> Issues</w:t>
      </w:r>
      <w:r w:rsidR="00333F76">
        <w:t xml:space="preserve"> </w:t>
      </w:r>
    </w:p>
    <w:p w14:paraId="7B665652" w14:textId="77777777" w:rsidR="001D4051" w:rsidRDefault="001D4051" w:rsidP="00333F76">
      <w:r w:rsidRPr="001D4051">
        <w:t>None for Council</w:t>
      </w:r>
    </w:p>
    <w:p w14:paraId="504509EA" w14:textId="0CCFEC8D" w:rsidR="00E446E9" w:rsidRDefault="00E446E9" w:rsidP="00B36547">
      <w:pPr>
        <w:pStyle w:val="Heading2"/>
        <w:keepNext/>
      </w:pPr>
      <w:r w:rsidRPr="000F2599">
        <w:t>Environmental Impact</w:t>
      </w:r>
    </w:p>
    <w:p w14:paraId="1FB28C34" w14:textId="5FB13387" w:rsidR="0090555B" w:rsidRPr="0090555B" w:rsidRDefault="0090555B" w:rsidP="0090555B">
      <w:r w:rsidRPr="001D4051">
        <w:t>None for Council</w:t>
      </w:r>
    </w:p>
    <w:p w14:paraId="7527B3D7" w14:textId="77777777" w:rsidR="00915FD6" w:rsidRPr="000F2599" w:rsidRDefault="00915FD6" w:rsidP="00B36547">
      <w:pPr>
        <w:pStyle w:val="Heading2"/>
        <w:keepNext/>
      </w:pPr>
      <w:r w:rsidRPr="000F2599">
        <w:t>Risk Management Implications</w:t>
      </w:r>
    </w:p>
    <w:p w14:paraId="419173BA" w14:textId="77B4D3BB" w:rsidR="00AC28DC" w:rsidRDefault="00933CED" w:rsidP="00AC28DC">
      <w:pPr>
        <w:tabs>
          <w:tab w:val="left" w:pos="5610"/>
        </w:tabs>
        <w:ind w:left="567" w:right="81" w:hanging="567"/>
        <w:rPr>
          <w:rFonts w:cs="Arial"/>
          <w:szCs w:val="24"/>
          <w:lang w:val="en-US"/>
        </w:rPr>
      </w:pPr>
      <w:r w:rsidRPr="00933CED">
        <w:rPr>
          <w:rFonts w:cs="Arial"/>
          <w:szCs w:val="24"/>
          <w:lang w:val="en-US"/>
        </w:rPr>
        <w:t>None for Council</w:t>
      </w:r>
    </w:p>
    <w:p w14:paraId="54B4708E" w14:textId="77777777" w:rsidR="00552DCB" w:rsidRDefault="00552DCB" w:rsidP="00552DCB">
      <w:pPr>
        <w:pStyle w:val="Heading2"/>
        <w:keepNext/>
        <w:spacing w:before="0"/>
      </w:pPr>
    </w:p>
    <w:p w14:paraId="7A04D200" w14:textId="6F02AD04" w:rsidR="00B776F3" w:rsidRPr="000F2599" w:rsidRDefault="00B776F3" w:rsidP="00552DCB">
      <w:pPr>
        <w:pStyle w:val="Heading2"/>
        <w:keepNext/>
        <w:spacing w:before="0"/>
      </w:pPr>
      <w:r w:rsidRPr="000F2599">
        <w:t xml:space="preserve">Equalities </w:t>
      </w:r>
      <w:r w:rsidR="00333F76">
        <w:t>I</w:t>
      </w:r>
      <w:r w:rsidRPr="000F2599">
        <w:t>mplications</w:t>
      </w:r>
      <w:r w:rsidR="00F63742" w:rsidRPr="000F2599">
        <w:t xml:space="preserve"> / Public Sector Equality Duty</w:t>
      </w:r>
    </w:p>
    <w:p w14:paraId="54789337" w14:textId="13A76F51" w:rsidR="00933CED" w:rsidRDefault="0009345B" w:rsidP="003D6D95">
      <w:pPr>
        <w:jc w:val="both"/>
      </w:pPr>
      <w:r>
        <w:t xml:space="preserve">The NWL ICB will ensure that its Equality Health Impact Assessment </w:t>
      </w:r>
      <w:r w:rsidR="00E61500">
        <w:t>(EHIA)</w:t>
      </w:r>
      <w:r w:rsidR="008A2F90">
        <w:t xml:space="preserve"> </w:t>
      </w:r>
      <w:r>
        <w:t xml:space="preserve">process </w:t>
      </w:r>
      <w:r w:rsidR="00193CBE">
        <w:t xml:space="preserve">is used </w:t>
      </w:r>
      <w:r>
        <w:t xml:space="preserve">to </w:t>
      </w:r>
      <w:r w:rsidR="00193CBE">
        <w:t xml:space="preserve">assess the potential impacts </w:t>
      </w:r>
      <w:r w:rsidR="00E61500">
        <w:t xml:space="preserve">of the recommended option to ensure services </w:t>
      </w:r>
      <w:r w:rsidR="00E61500" w:rsidRPr="00E61500">
        <w:t xml:space="preserve">provide equal access, </w:t>
      </w:r>
      <w:proofErr w:type="gramStart"/>
      <w:r w:rsidR="00E61500" w:rsidRPr="00E61500">
        <w:t>care</w:t>
      </w:r>
      <w:proofErr w:type="gramEnd"/>
      <w:r w:rsidR="00E61500" w:rsidRPr="00E61500">
        <w:t xml:space="preserve"> and quality of services to all the patients it serves.</w:t>
      </w:r>
    </w:p>
    <w:p w14:paraId="2EF5ADCB" w14:textId="77777777" w:rsidR="00552DCB" w:rsidRDefault="00552DCB" w:rsidP="00552DCB">
      <w:pPr>
        <w:pStyle w:val="Heading2"/>
        <w:spacing w:before="0"/>
      </w:pPr>
    </w:p>
    <w:p w14:paraId="1B3EA1BC" w14:textId="5EBA5FAF" w:rsidR="00AA1D1C" w:rsidRPr="000F2599" w:rsidRDefault="00777253" w:rsidP="00552DCB">
      <w:pPr>
        <w:pStyle w:val="Heading2"/>
        <w:spacing w:before="0"/>
      </w:pPr>
      <w:r w:rsidRPr="000F2599">
        <w:t xml:space="preserve">Council </w:t>
      </w:r>
      <w:r w:rsidR="00AA1D1C" w:rsidRPr="000F2599">
        <w:t>Priorities</w:t>
      </w:r>
    </w:p>
    <w:p w14:paraId="3D3FF4DE" w14:textId="7E597C5D" w:rsidR="004B44B8" w:rsidRDefault="004B44B8" w:rsidP="004B44B8">
      <w:pPr>
        <w:jc w:val="both"/>
      </w:pPr>
      <w:r>
        <w:t>P</w:t>
      </w:r>
      <w:r w:rsidR="00CC2C78">
        <w:t>ut</w:t>
      </w:r>
      <w:r>
        <w:t>ting R</w:t>
      </w:r>
      <w:r w:rsidR="00CC2C78">
        <w:t xml:space="preserve">esidents </w:t>
      </w:r>
      <w:r>
        <w:t>F</w:t>
      </w:r>
      <w:r w:rsidR="00CC2C78">
        <w:t>irst</w:t>
      </w:r>
      <w:r>
        <w:t xml:space="preserve"> –</w:t>
      </w:r>
      <w:r w:rsidRPr="004B44B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As the</w:t>
      </w:r>
      <w:r w:rsidRPr="00EB4BE6">
        <w:rPr>
          <w:rFonts w:cs="Arial"/>
          <w:szCs w:val="24"/>
        </w:rPr>
        <w:t xml:space="preserve"> key</w:t>
      </w:r>
      <w:r>
        <w:t xml:space="preserve"> priority for the review </w:t>
      </w:r>
      <w:r w:rsidRPr="00E80A70">
        <w:t>a</w:t>
      </w:r>
      <w:r>
        <w:t>nd provision of future services</w:t>
      </w:r>
      <w:r w:rsidRPr="00E80A70">
        <w:t xml:space="preserve"> is to ensure that </w:t>
      </w:r>
      <w:r>
        <w:t xml:space="preserve">all patients/residents in Harrow have </w:t>
      </w:r>
      <w:r w:rsidRPr="00E80A70">
        <w:t>access</w:t>
      </w:r>
      <w:r>
        <w:t xml:space="preserve"> to an equitable </w:t>
      </w:r>
      <w:r w:rsidRPr="00E80A70">
        <w:t xml:space="preserve">provision </w:t>
      </w:r>
      <w:r>
        <w:t>of service, no matter where they live in the borough, or which GP practice they are registered with</w:t>
      </w:r>
      <w:r>
        <w:t xml:space="preserve"> this puts Residents first</w:t>
      </w:r>
      <w:r>
        <w:t xml:space="preserve">. </w:t>
      </w:r>
    </w:p>
    <w:p w14:paraId="59A1AEC8" w14:textId="77777777" w:rsidR="004B44B8" w:rsidRDefault="004B44B8" w:rsidP="004B44B8">
      <w:pPr>
        <w:jc w:val="both"/>
      </w:pPr>
    </w:p>
    <w:p w14:paraId="4694FF5A" w14:textId="337037F9" w:rsidR="005441BD" w:rsidRPr="000F2599" w:rsidRDefault="005441BD" w:rsidP="00552DCB">
      <w:pPr>
        <w:pStyle w:val="Heading1"/>
        <w:keepNext/>
      </w:pPr>
      <w:r w:rsidRPr="000F2599">
        <w:t>Section 3 - Statutory Officer Clearance</w:t>
      </w:r>
    </w:p>
    <w:p w14:paraId="37ED470D" w14:textId="77777777" w:rsidR="0090555B" w:rsidRDefault="0090555B" w:rsidP="00552DCB">
      <w:pPr>
        <w:rPr>
          <w:b/>
          <w:sz w:val="28"/>
        </w:rPr>
      </w:pPr>
      <w:r>
        <w:t>Not required for this report.</w:t>
      </w:r>
      <w:r w:rsidRPr="00B92FE6">
        <w:rPr>
          <w:b/>
          <w:sz w:val="28"/>
        </w:rPr>
        <w:t xml:space="preserve"> </w:t>
      </w:r>
    </w:p>
    <w:p w14:paraId="7A6D32FA" w14:textId="77777777" w:rsidR="004B44B8" w:rsidRDefault="004B44B8" w:rsidP="00622741">
      <w:pPr>
        <w:pStyle w:val="Heading2"/>
        <w:spacing w:after="240"/>
      </w:pPr>
    </w:p>
    <w:p w14:paraId="451D34EE" w14:textId="3B10467E" w:rsidR="00622741" w:rsidRPr="00B92FE6" w:rsidRDefault="00622741" w:rsidP="00622741">
      <w:pPr>
        <w:pStyle w:val="Heading2"/>
        <w:spacing w:after="240"/>
      </w:pPr>
      <w:r w:rsidRPr="00B92FE6">
        <w:t>Mandatory Checks</w:t>
      </w:r>
    </w:p>
    <w:p w14:paraId="2D2008F2" w14:textId="4379FBEB" w:rsidR="00D4610B" w:rsidRPr="004B44B8" w:rsidRDefault="00622741" w:rsidP="00D4610B">
      <w:pPr>
        <w:pStyle w:val="Heading3"/>
        <w:rPr>
          <w:sz w:val="28"/>
        </w:rPr>
      </w:pPr>
      <w:r w:rsidRPr="00B92FE6">
        <w:t xml:space="preserve">Ward Councillors notified:  NO, </w:t>
      </w:r>
      <w:r w:rsidRPr="004B44B8">
        <w:rPr>
          <w:b w:val="0"/>
          <w:bCs w:val="0"/>
          <w:sz w:val="28"/>
        </w:rPr>
        <w:t>as it impacts on all Wards</w:t>
      </w:r>
      <w:r w:rsidR="004B44B8">
        <w:rPr>
          <w:b w:val="0"/>
          <w:bCs w:val="0"/>
          <w:sz w:val="28"/>
        </w:rPr>
        <w:t>.</w:t>
      </w:r>
      <w:r w:rsidRPr="004B44B8">
        <w:rPr>
          <w:sz w:val="28"/>
        </w:rPr>
        <w:t xml:space="preserve"> </w:t>
      </w:r>
    </w:p>
    <w:p w14:paraId="4C852904" w14:textId="77777777" w:rsidR="004B44B8" w:rsidRDefault="004B44B8" w:rsidP="004B44B8">
      <w:pPr>
        <w:pStyle w:val="Heading1"/>
        <w:keepNext/>
      </w:pPr>
    </w:p>
    <w:p w14:paraId="1BB2022E" w14:textId="50C5BA33" w:rsidR="00622741" w:rsidRPr="004B44B8" w:rsidRDefault="00622741" w:rsidP="004B44B8">
      <w:pPr>
        <w:pStyle w:val="Heading1"/>
        <w:keepNext/>
        <w:rPr>
          <w:sz w:val="28"/>
          <w:szCs w:val="28"/>
        </w:rPr>
      </w:pPr>
      <w:r w:rsidRPr="004B44B8">
        <w:rPr>
          <w:sz w:val="28"/>
          <w:szCs w:val="28"/>
        </w:rPr>
        <w:t>Section 4 - Contact Details and Background Papers</w:t>
      </w:r>
    </w:p>
    <w:p w14:paraId="2CA1B056" w14:textId="77777777" w:rsidR="0090555B" w:rsidRDefault="0090555B" w:rsidP="00D4610B">
      <w:pPr>
        <w:rPr>
          <w:b/>
        </w:rPr>
      </w:pPr>
    </w:p>
    <w:p w14:paraId="3F300679" w14:textId="4D244E44" w:rsidR="00E61500" w:rsidRDefault="00622741" w:rsidP="004B44B8">
      <w:pPr>
        <w:tabs>
          <w:tab w:val="left" w:pos="1134"/>
        </w:tabs>
        <w:ind w:left="1134" w:hanging="1134"/>
        <w:jc w:val="both"/>
      </w:pPr>
      <w:r w:rsidRPr="00B92FE6">
        <w:rPr>
          <w:b/>
        </w:rPr>
        <w:t>Contact:</w:t>
      </w:r>
      <w:r w:rsidRPr="00B92FE6">
        <w:t xml:space="preserve">  </w:t>
      </w:r>
      <w:r w:rsidR="0009345B">
        <w:rPr>
          <w:sz w:val="28"/>
          <w:szCs w:val="28"/>
          <w:lang w:eastAsia="en-GB"/>
        </w:rPr>
        <w:t>Isha Coombes, Harrow Borough Director</w:t>
      </w:r>
      <w:r w:rsidR="004B44B8">
        <w:rPr>
          <w:b/>
        </w:rPr>
        <w:t xml:space="preserve"> </w:t>
      </w:r>
      <w:proofErr w:type="gramStart"/>
      <w:r w:rsidR="0009345B" w:rsidRPr="00DB4C9E">
        <w:rPr>
          <w:sz w:val="28"/>
          <w:szCs w:val="28"/>
          <w:lang w:eastAsia="en-GB"/>
        </w:rPr>
        <w:t xml:space="preserve">North </w:t>
      </w:r>
      <w:r w:rsidR="004B44B8" w:rsidRPr="00DB4C9E">
        <w:rPr>
          <w:sz w:val="28"/>
          <w:szCs w:val="28"/>
          <w:lang w:eastAsia="en-GB"/>
        </w:rPr>
        <w:t>West</w:t>
      </w:r>
      <w:proofErr w:type="gramEnd"/>
      <w:r w:rsidR="004B44B8" w:rsidRPr="00DB4C9E">
        <w:rPr>
          <w:sz w:val="28"/>
          <w:szCs w:val="28"/>
          <w:lang w:eastAsia="en-GB"/>
        </w:rPr>
        <w:t xml:space="preserve"> </w:t>
      </w:r>
      <w:r w:rsidR="004B44B8">
        <w:rPr>
          <w:sz w:val="28"/>
          <w:szCs w:val="28"/>
          <w:lang w:eastAsia="en-GB"/>
        </w:rPr>
        <w:t xml:space="preserve">      London</w:t>
      </w:r>
      <w:r w:rsidR="0009345B" w:rsidRPr="00DB4C9E">
        <w:rPr>
          <w:sz w:val="28"/>
          <w:szCs w:val="28"/>
          <w:lang w:eastAsia="en-GB"/>
        </w:rPr>
        <w:t xml:space="preserve"> </w:t>
      </w:r>
      <w:r w:rsidR="0009345B">
        <w:rPr>
          <w:sz w:val="28"/>
          <w:szCs w:val="28"/>
          <w:lang w:eastAsia="en-GB"/>
        </w:rPr>
        <w:t>Integrated Care Board</w:t>
      </w:r>
      <w:r w:rsidR="004B44B8">
        <w:rPr>
          <w:sz w:val="28"/>
          <w:szCs w:val="28"/>
          <w:lang w:eastAsia="en-GB"/>
        </w:rPr>
        <w:t xml:space="preserve"> </w:t>
      </w:r>
      <w:hyperlink r:id="rId11" w:history="1">
        <w:r w:rsidR="00E61500" w:rsidRPr="00FF1C97">
          <w:rPr>
            <w:rStyle w:val="Hyperlink"/>
          </w:rPr>
          <w:t>i.coombes@nhs.net</w:t>
        </w:r>
      </w:hyperlink>
    </w:p>
    <w:p w14:paraId="63A0E5A8" w14:textId="4A04FDA3" w:rsidR="00E61500" w:rsidRDefault="00E61500" w:rsidP="004B44B8">
      <w:pPr>
        <w:jc w:val="both"/>
      </w:pPr>
    </w:p>
    <w:p w14:paraId="5CD040CD" w14:textId="00DDA864" w:rsidR="00937DB5" w:rsidRDefault="004B44B8" w:rsidP="004B44B8">
      <w:pPr>
        <w:tabs>
          <w:tab w:val="left" w:pos="1134"/>
        </w:tabs>
        <w:ind w:left="1134" w:hanging="1134"/>
        <w:jc w:val="both"/>
        <w:rPr>
          <w:bCs/>
          <w:sz w:val="28"/>
          <w:szCs w:val="22"/>
        </w:rPr>
      </w:pPr>
      <w:r w:rsidRPr="004B44B8">
        <w:rPr>
          <w:b/>
        </w:rPr>
        <w:t xml:space="preserve">Background Papers: </w:t>
      </w:r>
      <w:r w:rsidR="00D4610B" w:rsidRPr="004B44B8">
        <w:rPr>
          <w:bCs/>
          <w:sz w:val="28"/>
          <w:szCs w:val="22"/>
        </w:rPr>
        <w:t xml:space="preserve">Appendix 1 – </w:t>
      </w:r>
      <w:r w:rsidR="00BE2CF2" w:rsidRPr="004B44B8">
        <w:rPr>
          <w:bCs/>
          <w:sz w:val="28"/>
          <w:szCs w:val="22"/>
        </w:rPr>
        <w:t xml:space="preserve">Review of Current Community </w:t>
      </w:r>
    </w:p>
    <w:p w14:paraId="5291BEB2" w14:textId="292BB5AC" w:rsidR="004B44B8" w:rsidRPr="004B44B8" w:rsidRDefault="004B44B8" w:rsidP="004B44B8">
      <w:pPr>
        <w:tabs>
          <w:tab w:val="left" w:pos="1134"/>
        </w:tabs>
        <w:ind w:left="1134" w:hanging="1134"/>
        <w:jc w:val="both"/>
        <w:rPr>
          <w:bCs/>
          <w:sz w:val="28"/>
          <w:szCs w:val="22"/>
        </w:rPr>
      </w:pPr>
      <w:r>
        <w:rPr>
          <w:b/>
        </w:rPr>
        <w:t xml:space="preserve">                                    </w:t>
      </w:r>
      <w:r w:rsidRPr="004B44B8">
        <w:rPr>
          <w:bCs/>
          <w:sz w:val="28"/>
          <w:szCs w:val="22"/>
        </w:rPr>
        <w:t>Outpatient Services in Harrow</w:t>
      </w:r>
    </w:p>
    <w:sectPr w:rsidR="004B44B8" w:rsidRPr="004B44B8" w:rsidSect="000064A3">
      <w:pgSz w:w="11909" w:h="16834" w:code="9"/>
      <w:pgMar w:top="864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2C78" w14:textId="77777777" w:rsidR="007A4113" w:rsidRDefault="007A4113">
      <w:r>
        <w:separator/>
      </w:r>
    </w:p>
  </w:endnote>
  <w:endnote w:type="continuationSeparator" w:id="0">
    <w:p w14:paraId="2D16AFCC" w14:textId="77777777" w:rsidR="007A4113" w:rsidRDefault="007A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D722" w14:textId="77777777" w:rsidR="007A4113" w:rsidRDefault="007A4113">
      <w:r>
        <w:separator/>
      </w:r>
    </w:p>
  </w:footnote>
  <w:footnote w:type="continuationSeparator" w:id="0">
    <w:p w14:paraId="3E48B3DC" w14:textId="77777777" w:rsidR="007A4113" w:rsidRDefault="007A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B165F"/>
    <w:multiLevelType w:val="hybridMultilevel"/>
    <w:tmpl w:val="DB40A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20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5156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A60B7"/>
    <w:multiLevelType w:val="hybridMultilevel"/>
    <w:tmpl w:val="1A58F3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FCDAA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43BCC"/>
    <w:multiLevelType w:val="hybridMultilevel"/>
    <w:tmpl w:val="7CEE1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706A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801D4"/>
    <w:multiLevelType w:val="hybridMultilevel"/>
    <w:tmpl w:val="AC7C90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40FEA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6816C7"/>
    <w:multiLevelType w:val="hybridMultilevel"/>
    <w:tmpl w:val="1FCC44B6"/>
    <w:lvl w:ilvl="0" w:tplc="62BE9E0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91E4C"/>
    <w:multiLevelType w:val="hybridMultilevel"/>
    <w:tmpl w:val="15D00DEC"/>
    <w:lvl w:ilvl="0" w:tplc="3EEA1D32"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666A0"/>
    <w:multiLevelType w:val="hybridMultilevel"/>
    <w:tmpl w:val="B0F2C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514E3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8930B4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4086076C"/>
    <w:multiLevelType w:val="hybridMultilevel"/>
    <w:tmpl w:val="CD72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23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D1589"/>
    <w:multiLevelType w:val="hybridMultilevel"/>
    <w:tmpl w:val="D688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A08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55C290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0523B"/>
    <w:multiLevelType w:val="hybridMultilevel"/>
    <w:tmpl w:val="EC5E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20F61"/>
    <w:multiLevelType w:val="hybridMultilevel"/>
    <w:tmpl w:val="75362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27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14F25C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4E6F85"/>
    <w:multiLevelType w:val="hybridMultilevel"/>
    <w:tmpl w:val="22881F3E"/>
    <w:lvl w:ilvl="0" w:tplc="B52853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85CD7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AC4EDA"/>
    <w:multiLevelType w:val="hybridMultilevel"/>
    <w:tmpl w:val="8012D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5B7B"/>
    <w:multiLevelType w:val="hybridMultilevel"/>
    <w:tmpl w:val="7AA8DA8C"/>
    <w:lvl w:ilvl="0" w:tplc="044AE40A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533014"/>
    <w:multiLevelType w:val="hybridMultilevel"/>
    <w:tmpl w:val="6662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26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960222">
    <w:abstractNumId w:val="31"/>
  </w:num>
  <w:num w:numId="2" w16cid:durableId="1805003889">
    <w:abstractNumId w:val="26"/>
  </w:num>
  <w:num w:numId="3" w16cid:durableId="680819112">
    <w:abstractNumId w:val="14"/>
  </w:num>
  <w:num w:numId="4" w16cid:durableId="1588222962">
    <w:abstractNumId w:val="27"/>
  </w:num>
  <w:num w:numId="5" w16cid:durableId="1985890991">
    <w:abstractNumId w:val="11"/>
  </w:num>
  <w:num w:numId="6" w16cid:durableId="1856443">
    <w:abstractNumId w:val="25"/>
  </w:num>
  <w:num w:numId="7" w16cid:durableId="1316488975">
    <w:abstractNumId w:val="18"/>
  </w:num>
  <w:num w:numId="8" w16cid:durableId="1990787720">
    <w:abstractNumId w:val="8"/>
  </w:num>
  <w:num w:numId="9" w16cid:durableId="1834300305">
    <w:abstractNumId w:val="36"/>
  </w:num>
  <w:num w:numId="10" w16cid:durableId="52657702">
    <w:abstractNumId w:val="38"/>
  </w:num>
  <w:num w:numId="11" w16cid:durableId="1611548411">
    <w:abstractNumId w:val="2"/>
  </w:num>
  <w:num w:numId="12" w16cid:durableId="1476754605">
    <w:abstractNumId w:val="7"/>
  </w:num>
  <w:num w:numId="13" w16cid:durableId="520827817">
    <w:abstractNumId w:val="19"/>
  </w:num>
  <w:num w:numId="14" w16cid:durableId="178396583">
    <w:abstractNumId w:val="9"/>
  </w:num>
  <w:num w:numId="15" w16cid:durableId="836381455">
    <w:abstractNumId w:val="34"/>
  </w:num>
  <w:num w:numId="16" w16cid:durableId="1000088240">
    <w:abstractNumId w:val="5"/>
  </w:num>
  <w:num w:numId="17" w16cid:durableId="1854764445">
    <w:abstractNumId w:val="24"/>
  </w:num>
  <w:num w:numId="18" w16cid:durableId="533155261">
    <w:abstractNumId w:val="10"/>
  </w:num>
  <w:num w:numId="19" w16cid:durableId="738862586">
    <w:abstractNumId w:val="16"/>
  </w:num>
  <w:num w:numId="20" w16cid:durableId="1138376172">
    <w:abstractNumId w:val="35"/>
  </w:num>
  <w:num w:numId="21" w16cid:durableId="1491754070">
    <w:abstractNumId w:val="33"/>
  </w:num>
  <w:num w:numId="22" w16cid:durableId="672419166">
    <w:abstractNumId w:val="13"/>
  </w:num>
  <w:num w:numId="23" w16cid:durableId="1074664904">
    <w:abstractNumId w:val="39"/>
  </w:num>
  <w:num w:numId="24" w16cid:durableId="246808587">
    <w:abstractNumId w:val="32"/>
  </w:num>
  <w:num w:numId="25" w16cid:durableId="194664114">
    <w:abstractNumId w:val="15"/>
  </w:num>
  <w:num w:numId="26" w16cid:durableId="1663043350">
    <w:abstractNumId w:val="1"/>
  </w:num>
  <w:num w:numId="27" w16cid:durableId="1871452553">
    <w:abstractNumId w:val="21"/>
  </w:num>
  <w:num w:numId="28" w16cid:durableId="877667592">
    <w:abstractNumId w:val="22"/>
  </w:num>
  <w:num w:numId="29" w16cid:durableId="1864242719">
    <w:abstractNumId w:val="37"/>
  </w:num>
  <w:num w:numId="30" w16cid:durableId="10480670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60521534">
    <w:abstractNumId w:val="17"/>
  </w:num>
  <w:num w:numId="32" w16cid:durableId="1540699872">
    <w:abstractNumId w:val="20"/>
  </w:num>
  <w:num w:numId="33" w16cid:durableId="1324550880">
    <w:abstractNumId w:val="6"/>
  </w:num>
  <w:num w:numId="34" w16cid:durableId="1761411818">
    <w:abstractNumId w:val="4"/>
  </w:num>
  <w:num w:numId="35" w16cid:durableId="1295719335">
    <w:abstractNumId w:val="30"/>
  </w:num>
  <w:num w:numId="36" w16cid:durableId="1493259637">
    <w:abstractNumId w:val="40"/>
  </w:num>
  <w:num w:numId="37" w16cid:durableId="1875262521">
    <w:abstractNumId w:val="28"/>
  </w:num>
  <w:num w:numId="38" w16cid:durableId="13114083">
    <w:abstractNumId w:val="3"/>
  </w:num>
  <w:num w:numId="39" w16cid:durableId="1926837109">
    <w:abstractNumId w:val="12"/>
  </w:num>
  <w:num w:numId="40" w16cid:durableId="143934579">
    <w:abstractNumId w:val="0"/>
  </w:num>
  <w:num w:numId="41" w16cid:durableId="838036638">
    <w:abstractNumId w:val="29"/>
  </w:num>
  <w:num w:numId="42" w16cid:durableId="13483655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6"/>
    <w:rsid w:val="000064A3"/>
    <w:rsid w:val="00036698"/>
    <w:rsid w:val="000417A4"/>
    <w:rsid w:val="00044EA3"/>
    <w:rsid w:val="00046328"/>
    <w:rsid w:val="00070B33"/>
    <w:rsid w:val="00075CBB"/>
    <w:rsid w:val="0009345B"/>
    <w:rsid w:val="000A33E4"/>
    <w:rsid w:val="000B74AD"/>
    <w:rsid w:val="000D594C"/>
    <w:rsid w:val="000D59D7"/>
    <w:rsid w:val="000F2599"/>
    <w:rsid w:val="000F5FF4"/>
    <w:rsid w:val="000F665E"/>
    <w:rsid w:val="001071C4"/>
    <w:rsid w:val="001120D6"/>
    <w:rsid w:val="00131D9D"/>
    <w:rsid w:val="00141F91"/>
    <w:rsid w:val="00156C33"/>
    <w:rsid w:val="00157787"/>
    <w:rsid w:val="0016746B"/>
    <w:rsid w:val="00170541"/>
    <w:rsid w:val="00193CBE"/>
    <w:rsid w:val="001A6BFF"/>
    <w:rsid w:val="001B1515"/>
    <w:rsid w:val="001C1569"/>
    <w:rsid w:val="001C2940"/>
    <w:rsid w:val="001D4051"/>
    <w:rsid w:val="001E153E"/>
    <w:rsid w:val="001E282E"/>
    <w:rsid w:val="001E6E71"/>
    <w:rsid w:val="00205B6C"/>
    <w:rsid w:val="00234AB7"/>
    <w:rsid w:val="00262641"/>
    <w:rsid w:val="00267B48"/>
    <w:rsid w:val="00275FE6"/>
    <w:rsid w:val="00277B96"/>
    <w:rsid w:val="00295B66"/>
    <w:rsid w:val="002B7F80"/>
    <w:rsid w:val="002C6464"/>
    <w:rsid w:val="002D077C"/>
    <w:rsid w:val="002D35ED"/>
    <w:rsid w:val="002D45D5"/>
    <w:rsid w:val="002D616C"/>
    <w:rsid w:val="002E7B8B"/>
    <w:rsid w:val="00313F3C"/>
    <w:rsid w:val="00324A8E"/>
    <w:rsid w:val="00333F76"/>
    <w:rsid w:val="003739BF"/>
    <w:rsid w:val="0037540E"/>
    <w:rsid w:val="003A2F0B"/>
    <w:rsid w:val="003D0D09"/>
    <w:rsid w:val="003D6D95"/>
    <w:rsid w:val="00417067"/>
    <w:rsid w:val="00431C38"/>
    <w:rsid w:val="00480D23"/>
    <w:rsid w:val="00482882"/>
    <w:rsid w:val="0049070E"/>
    <w:rsid w:val="004A659A"/>
    <w:rsid w:val="004B44B8"/>
    <w:rsid w:val="004D7310"/>
    <w:rsid w:val="004E104D"/>
    <w:rsid w:val="00507725"/>
    <w:rsid w:val="005200DF"/>
    <w:rsid w:val="00527689"/>
    <w:rsid w:val="005441BD"/>
    <w:rsid w:val="00552DCB"/>
    <w:rsid w:val="00587227"/>
    <w:rsid w:val="005961BE"/>
    <w:rsid w:val="005A0494"/>
    <w:rsid w:val="005C49A2"/>
    <w:rsid w:val="005D374F"/>
    <w:rsid w:val="005D3881"/>
    <w:rsid w:val="006003F7"/>
    <w:rsid w:val="00612A64"/>
    <w:rsid w:val="0061346D"/>
    <w:rsid w:val="00617F63"/>
    <w:rsid w:val="00622741"/>
    <w:rsid w:val="006377D6"/>
    <w:rsid w:val="0064559E"/>
    <w:rsid w:val="00646696"/>
    <w:rsid w:val="006B5F35"/>
    <w:rsid w:val="006D7C86"/>
    <w:rsid w:val="00713DA0"/>
    <w:rsid w:val="007217F4"/>
    <w:rsid w:val="007444BF"/>
    <w:rsid w:val="00777253"/>
    <w:rsid w:val="00780A65"/>
    <w:rsid w:val="00782301"/>
    <w:rsid w:val="007A4113"/>
    <w:rsid w:val="007C1918"/>
    <w:rsid w:val="007E08CE"/>
    <w:rsid w:val="00812664"/>
    <w:rsid w:val="00823899"/>
    <w:rsid w:val="008951A2"/>
    <w:rsid w:val="008A2F90"/>
    <w:rsid w:val="008C00C6"/>
    <w:rsid w:val="008F1A15"/>
    <w:rsid w:val="00900324"/>
    <w:rsid w:val="0090555B"/>
    <w:rsid w:val="00915FD6"/>
    <w:rsid w:val="00930C42"/>
    <w:rsid w:val="00933CED"/>
    <w:rsid w:val="009366AD"/>
    <w:rsid w:val="00937DB5"/>
    <w:rsid w:val="009478A4"/>
    <w:rsid w:val="00955D85"/>
    <w:rsid w:val="009653D9"/>
    <w:rsid w:val="00973739"/>
    <w:rsid w:val="009761ED"/>
    <w:rsid w:val="00992464"/>
    <w:rsid w:val="009A7184"/>
    <w:rsid w:val="009D1916"/>
    <w:rsid w:val="009F7E5A"/>
    <w:rsid w:val="00A063C8"/>
    <w:rsid w:val="00A1569A"/>
    <w:rsid w:val="00A1579E"/>
    <w:rsid w:val="00A24E62"/>
    <w:rsid w:val="00A3050F"/>
    <w:rsid w:val="00A63868"/>
    <w:rsid w:val="00A656CF"/>
    <w:rsid w:val="00A80F10"/>
    <w:rsid w:val="00AA1879"/>
    <w:rsid w:val="00AA1D1C"/>
    <w:rsid w:val="00AB6E5B"/>
    <w:rsid w:val="00AC28DC"/>
    <w:rsid w:val="00B051D8"/>
    <w:rsid w:val="00B05C5F"/>
    <w:rsid w:val="00B25AF8"/>
    <w:rsid w:val="00B36547"/>
    <w:rsid w:val="00B46301"/>
    <w:rsid w:val="00B50D94"/>
    <w:rsid w:val="00B75672"/>
    <w:rsid w:val="00B764AC"/>
    <w:rsid w:val="00B776F3"/>
    <w:rsid w:val="00B83D00"/>
    <w:rsid w:val="00B92FE6"/>
    <w:rsid w:val="00B97261"/>
    <w:rsid w:val="00BD0B97"/>
    <w:rsid w:val="00BD6F2D"/>
    <w:rsid w:val="00BE2CF2"/>
    <w:rsid w:val="00C236B6"/>
    <w:rsid w:val="00C316E9"/>
    <w:rsid w:val="00C37118"/>
    <w:rsid w:val="00C647A2"/>
    <w:rsid w:val="00C817CB"/>
    <w:rsid w:val="00C928FC"/>
    <w:rsid w:val="00CA5A39"/>
    <w:rsid w:val="00CC1569"/>
    <w:rsid w:val="00CC2C78"/>
    <w:rsid w:val="00CC306F"/>
    <w:rsid w:val="00D107B2"/>
    <w:rsid w:val="00D16E14"/>
    <w:rsid w:val="00D4068D"/>
    <w:rsid w:val="00D4610B"/>
    <w:rsid w:val="00D54442"/>
    <w:rsid w:val="00D73611"/>
    <w:rsid w:val="00D86C2E"/>
    <w:rsid w:val="00DA38BD"/>
    <w:rsid w:val="00DB464E"/>
    <w:rsid w:val="00DB4C9E"/>
    <w:rsid w:val="00DE0604"/>
    <w:rsid w:val="00DE6CC7"/>
    <w:rsid w:val="00E0775D"/>
    <w:rsid w:val="00E1193A"/>
    <w:rsid w:val="00E446E9"/>
    <w:rsid w:val="00E55314"/>
    <w:rsid w:val="00E61500"/>
    <w:rsid w:val="00E91983"/>
    <w:rsid w:val="00EB4BE6"/>
    <w:rsid w:val="00F037DB"/>
    <w:rsid w:val="00F1064F"/>
    <w:rsid w:val="00F12C0A"/>
    <w:rsid w:val="00F45ADF"/>
    <w:rsid w:val="00F63742"/>
    <w:rsid w:val="00F909D0"/>
    <w:rsid w:val="00FB23F5"/>
    <w:rsid w:val="00FC2AC3"/>
    <w:rsid w:val="00FD21C6"/>
    <w:rsid w:val="00FE2F05"/>
    <w:rsid w:val="01004FA3"/>
    <w:rsid w:val="0788DD6C"/>
    <w:rsid w:val="169712C6"/>
    <w:rsid w:val="1EE74784"/>
    <w:rsid w:val="2A58EC72"/>
    <w:rsid w:val="2CF3783C"/>
    <w:rsid w:val="36910DDC"/>
    <w:rsid w:val="3A8E10A8"/>
    <w:rsid w:val="3AB17FFD"/>
    <w:rsid w:val="42016F7F"/>
    <w:rsid w:val="4E855238"/>
    <w:rsid w:val="57C86BB9"/>
    <w:rsid w:val="6B40CFE7"/>
    <w:rsid w:val="712FBF78"/>
    <w:rsid w:val="7FF9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63B5C1"/>
  <w15:docId w15:val="{9014614B-CC31-4663-8F8A-B41DB2E2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7E08CE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4A659A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4A659A"/>
    <w:pPr>
      <w:spacing w:before="240"/>
      <w:outlineLvl w:val="2"/>
    </w:pPr>
    <w:rPr>
      <w:rFonts w:cs="Arial"/>
      <w:b/>
      <w:bCs/>
      <w:sz w:val="32"/>
      <w:szCs w:val="28"/>
    </w:rPr>
  </w:style>
  <w:style w:type="paragraph" w:styleId="Heading4">
    <w:name w:val="heading 4"/>
    <w:basedOn w:val="Normal"/>
    <w:next w:val="Normal"/>
    <w:qFormat/>
    <w:rsid w:val="004A659A"/>
    <w:pPr>
      <w:keepNext/>
      <w:spacing w:before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480D2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1120D6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Hyperlink">
    <w:name w:val="Hyperlink"/>
    <w:rsid w:val="001120D6"/>
    <w:rPr>
      <w:color w:val="0000FF"/>
      <w:u w:val="single"/>
    </w:rPr>
  </w:style>
  <w:style w:type="paragraph" w:customStyle="1" w:styleId="CharCharCharCharCharCharCharChar0">
    <w:name w:val="Char Char Char Char Char Char Char Char0"/>
    <w:basedOn w:val="Normal"/>
    <w:rsid w:val="009D191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A3050F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4E104D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FollowedHyperlink">
    <w:name w:val="FollowedHyperlink"/>
    <w:rsid w:val="004E104D"/>
    <w:rPr>
      <w:color w:val="800080"/>
      <w:u w:val="single"/>
    </w:rPr>
  </w:style>
  <w:style w:type="paragraph" w:styleId="ListParagraph">
    <w:name w:val="List Paragraph"/>
    <w:basedOn w:val="Normal"/>
    <w:qFormat/>
    <w:rsid w:val="00F63742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CharChar0">
    <w:name w:val="Char Char Char Char0"/>
    <w:basedOn w:val="Normal"/>
    <w:locked/>
    <w:rsid w:val="00930C42"/>
    <w:pPr>
      <w:spacing w:after="160" w:line="240" w:lineRule="exact"/>
    </w:pPr>
    <w:rPr>
      <w:rFonts w:ascii="Verdana" w:hAnsi="Verdana"/>
      <w:sz w:val="20"/>
      <w:lang w:val="en-US"/>
    </w:rPr>
  </w:style>
  <w:style w:type="table" w:customStyle="1" w:styleId="Style1">
    <w:name w:val="Style1"/>
    <w:basedOn w:val="TableNormal"/>
    <w:uiPriority w:val="99"/>
    <w:rsid w:val="001B1515"/>
    <w:rPr>
      <w:rFonts w:ascii="Arial" w:hAnsi="Arial"/>
      <w:sz w:val="24"/>
    </w:rPr>
    <w:tblPr/>
    <w:tcPr>
      <w:shd w:val="clear" w:color="auto" w:fill="FFFFFF" w:themeFill="background1"/>
    </w:tc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08C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1D4051"/>
    <w:rPr>
      <w:rFonts w:ascii="Arial" w:eastAsiaTheme="minorHAnsi" w:hAnsi="Arial" w:cstheme="minorBidi"/>
      <w:color w:val="231F2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D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051D8"/>
    <w:pPr>
      <w:autoSpaceDE w:val="0"/>
      <w:autoSpaceDN w:val="0"/>
    </w:pPr>
    <w:rPr>
      <w:rFonts w:eastAsiaTheme="minorHAnsi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.coombes@nhs.ne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56D7C1F0F24B9A4111951FA94E15" ma:contentTypeVersion="4" ma:contentTypeDescription="Create a new document." ma:contentTypeScope="" ma:versionID="b688c623b2afe49189bd0bb0f66fcabf">
  <xsd:schema xmlns:xsd="http://www.w3.org/2001/XMLSchema" xmlns:xs="http://www.w3.org/2001/XMLSchema" xmlns:p="http://schemas.microsoft.com/office/2006/metadata/properties" xmlns:ns2="48fdd5af-7127-4349-9ef8-8ec3aedfe79a" targetNamespace="http://schemas.microsoft.com/office/2006/metadata/properties" ma:root="true" ma:fieldsID="c5c866ef61867eeb83eec35f93f8ccb8" ns2:_="">
    <xsd:import namespace="48fdd5af-7127-4349-9ef8-8ec3aedfe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d5af-7127-4349-9ef8-8ec3aedfe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94471-F152-40FB-8AFF-B35B9BA76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3ED9E2-41EB-4F25-83C7-1FBD76E8E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A6184-5BD1-4CF9-8BC0-C3DB07F84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dd5af-7127-4349-9ef8-8ec3aedfe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606</Words>
  <Characters>3650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>Meeting:</vt:lpstr>
      <vt:lpstr>    Section 2 – Report</vt:lpstr>
      <vt:lpstr>        Introductory paragraph</vt:lpstr>
      <vt:lpstr>        Ward Councillors’ comments</vt:lpstr>
      <vt:lpstr>    </vt:lpstr>
      <vt:lpstr>    Financial Implications</vt:lpstr>
      <vt:lpstr>    </vt:lpstr>
      <vt:lpstr>    Performance Issues </vt:lpstr>
      <vt:lpstr>    Environmental Impact</vt:lpstr>
      <vt:lpstr>    Risk Management Implications</vt:lpstr>
      <vt:lpstr>    </vt:lpstr>
      <vt:lpstr>    Equalities Implications / Public Sector Equality Duty</vt:lpstr>
      <vt:lpstr>    </vt:lpstr>
      <vt:lpstr>    Council Priorities</vt:lpstr>
      <vt:lpstr>Section 3 - Statutory Officer Clearance</vt:lpstr>
      <vt:lpstr>    </vt:lpstr>
      <vt:lpstr>    Mandatory Checks</vt:lpstr>
      <vt:lpstr>        Ward Councillors notified:  NO, as it impacts on all Wards. </vt:lpstr>
      <vt:lpstr/>
      <vt:lpstr>Section 4 - Contact Details and Background Papers</vt:lpstr>
    </vt:vector>
  </TitlesOfParts>
  <Company>Harrow Council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Kenny Uzodike</cp:lastModifiedBy>
  <cp:revision>2</cp:revision>
  <cp:lastPrinted>2009-12-01T14:09:00Z</cp:lastPrinted>
  <dcterms:created xsi:type="dcterms:W3CDTF">2023-02-13T12:40:00Z</dcterms:created>
  <dcterms:modified xsi:type="dcterms:W3CDTF">2023-02-13T12:40:00Z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0x010100061656D7C1F0F24B9A4111951FA94E15</vt:lpwstr>
  </property>
</Properties>
</file>